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8525" w14:textId="77777777" w:rsidR="0037743E" w:rsidRPr="004B6637" w:rsidRDefault="00827305" w:rsidP="006C2F1D">
      <w:pPr>
        <w:jc w:val="center"/>
        <w:rPr>
          <w:b/>
          <w:sz w:val="32"/>
          <w:szCs w:val="32"/>
        </w:rPr>
      </w:pPr>
      <w:r>
        <w:rPr>
          <w:b/>
          <w:sz w:val="32"/>
          <w:szCs w:val="32"/>
        </w:rPr>
        <w:t xml:space="preserve"> </w:t>
      </w:r>
      <w:r w:rsidR="004B6637" w:rsidRPr="004B6637">
        <w:rPr>
          <w:b/>
          <w:sz w:val="32"/>
          <w:szCs w:val="32"/>
        </w:rPr>
        <w:t>La sémantique de l’événement</w:t>
      </w:r>
      <w:r w:rsidR="009C0E70" w:rsidRPr="004B6637">
        <w:rPr>
          <w:b/>
          <w:sz w:val="32"/>
          <w:szCs w:val="32"/>
        </w:rPr>
        <w:t xml:space="preserve"> </w:t>
      </w:r>
      <w:r w:rsidR="004B6637" w:rsidRPr="004B6637">
        <w:rPr>
          <w:b/>
          <w:sz w:val="32"/>
          <w:szCs w:val="32"/>
        </w:rPr>
        <w:t xml:space="preserve">d’Eduardo </w:t>
      </w:r>
      <w:bookmarkStart w:id="0" w:name="_Hlk66708431"/>
      <w:r w:rsidR="004B6637" w:rsidRPr="004B6637">
        <w:rPr>
          <w:b/>
          <w:sz w:val="32"/>
          <w:szCs w:val="32"/>
        </w:rPr>
        <w:t>Guimarães</w:t>
      </w:r>
      <w:bookmarkEnd w:id="0"/>
    </w:p>
    <w:p w14:paraId="5CCEB335" w14:textId="77777777" w:rsidR="000D3542" w:rsidRPr="006A48AA" w:rsidRDefault="004B6637" w:rsidP="006C2F1D">
      <w:pPr>
        <w:jc w:val="center"/>
        <w:rPr>
          <w:b/>
          <w:sz w:val="28"/>
          <w:szCs w:val="28"/>
        </w:rPr>
      </w:pPr>
      <w:r w:rsidRPr="006A48AA">
        <w:rPr>
          <w:b/>
          <w:sz w:val="28"/>
          <w:szCs w:val="28"/>
        </w:rPr>
        <w:t>(</w:t>
      </w:r>
      <w:proofErr w:type="spellStart"/>
      <w:r w:rsidR="00355B44" w:rsidRPr="006A48AA">
        <w:rPr>
          <w:b/>
          <w:sz w:val="28"/>
          <w:szCs w:val="28"/>
        </w:rPr>
        <w:t>Semântica</w:t>
      </w:r>
      <w:proofErr w:type="spellEnd"/>
      <w:r w:rsidR="00355B44" w:rsidRPr="006A48AA">
        <w:rPr>
          <w:b/>
          <w:sz w:val="28"/>
          <w:szCs w:val="28"/>
        </w:rPr>
        <w:t xml:space="preserve"> do </w:t>
      </w:r>
      <w:proofErr w:type="spellStart"/>
      <w:r w:rsidR="00355B44" w:rsidRPr="006A48AA">
        <w:rPr>
          <w:b/>
          <w:sz w:val="28"/>
          <w:szCs w:val="28"/>
        </w:rPr>
        <w:t>acontecimento</w:t>
      </w:r>
      <w:proofErr w:type="spellEnd"/>
      <w:r w:rsidRPr="006A48AA">
        <w:rPr>
          <w:b/>
          <w:sz w:val="28"/>
          <w:szCs w:val="28"/>
        </w:rPr>
        <w:t>)</w:t>
      </w:r>
      <w:r w:rsidR="00355B44" w:rsidRPr="006A48AA">
        <w:rPr>
          <w:b/>
          <w:sz w:val="28"/>
          <w:szCs w:val="28"/>
        </w:rPr>
        <w:t xml:space="preserve"> </w:t>
      </w:r>
    </w:p>
    <w:p w14:paraId="00BDDF22" w14:textId="77777777" w:rsidR="003343E0" w:rsidRPr="006A48AA" w:rsidRDefault="003343E0" w:rsidP="006C2F1D">
      <w:pPr>
        <w:jc w:val="both"/>
      </w:pPr>
    </w:p>
    <w:p w14:paraId="0F25DDE4" w14:textId="77777777" w:rsidR="00011426" w:rsidRPr="006C2F1D" w:rsidRDefault="00011426" w:rsidP="006C2F1D">
      <w:pPr>
        <w:jc w:val="center"/>
        <w:rPr>
          <w:b/>
        </w:rPr>
      </w:pPr>
      <w:r w:rsidRPr="006C2F1D">
        <w:rPr>
          <w:b/>
        </w:rPr>
        <w:t xml:space="preserve">Pierre </w:t>
      </w:r>
      <w:proofErr w:type="spellStart"/>
      <w:r w:rsidRPr="006C2F1D">
        <w:rPr>
          <w:b/>
        </w:rPr>
        <w:t>Frath</w:t>
      </w:r>
      <w:proofErr w:type="spellEnd"/>
    </w:p>
    <w:p w14:paraId="3ABE32B2" w14:textId="77777777" w:rsidR="004B6637" w:rsidRDefault="004B6637" w:rsidP="006C2F1D">
      <w:pPr>
        <w:jc w:val="center"/>
      </w:pPr>
      <w:r>
        <w:t>Université de Reims Champagne-Ardenne</w:t>
      </w:r>
    </w:p>
    <w:p w14:paraId="2DABA4DA" w14:textId="77777777" w:rsidR="00011426" w:rsidRPr="006A48AA" w:rsidRDefault="00011426" w:rsidP="006C2F1D">
      <w:pPr>
        <w:jc w:val="center"/>
        <w:rPr>
          <w:lang w:val="en-GB"/>
        </w:rPr>
      </w:pPr>
      <w:r w:rsidRPr="006A48AA">
        <w:rPr>
          <w:lang w:val="en-GB"/>
        </w:rPr>
        <w:t>CIRLEP EA 4299</w:t>
      </w:r>
    </w:p>
    <w:p w14:paraId="2CE01A9C" w14:textId="77777777" w:rsidR="004B6637" w:rsidRPr="004B6637" w:rsidRDefault="004B6637" w:rsidP="004B6637">
      <w:pPr>
        <w:jc w:val="center"/>
        <w:rPr>
          <w:lang w:val="en-GB"/>
        </w:rPr>
      </w:pPr>
      <w:r w:rsidRPr="004B6637">
        <w:rPr>
          <w:lang w:val="en-GB"/>
        </w:rPr>
        <w:t>CELISO EA 7332</w:t>
      </w:r>
    </w:p>
    <w:p w14:paraId="2C699D3A" w14:textId="23C118F8" w:rsidR="004B6637" w:rsidRDefault="004B6637" w:rsidP="004B6637">
      <w:pPr>
        <w:jc w:val="center"/>
        <w:rPr>
          <w:lang w:val="en-GB"/>
        </w:rPr>
      </w:pPr>
      <w:r w:rsidRPr="004B6637">
        <w:rPr>
          <w:lang w:val="en-GB"/>
        </w:rPr>
        <w:t>LILPA EA 1339</w:t>
      </w:r>
    </w:p>
    <w:p w14:paraId="6AC189A4" w14:textId="77777777" w:rsidR="004B6637" w:rsidRPr="004B6637" w:rsidRDefault="004B6637" w:rsidP="004B6637">
      <w:pPr>
        <w:jc w:val="center"/>
      </w:pPr>
      <w:r w:rsidRPr="004B6637">
        <w:t>CREILAC Ziguin</w:t>
      </w:r>
      <w:r>
        <w:t>chor</w:t>
      </w:r>
    </w:p>
    <w:p w14:paraId="1DCA5509" w14:textId="77777777" w:rsidR="004B6637" w:rsidRPr="004B6637" w:rsidRDefault="004B6637" w:rsidP="004B6637">
      <w:pPr>
        <w:jc w:val="center"/>
      </w:pPr>
      <w:r w:rsidRPr="004B6637">
        <w:t>Pierre.frath@aliceadsl.fr</w:t>
      </w:r>
    </w:p>
    <w:p w14:paraId="762D08CB" w14:textId="77777777" w:rsidR="004B6637" w:rsidRPr="006A48AA" w:rsidRDefault="004B6637" w:rsidP="004B6637">
      <w:pPr>
        <w:jc w:val="center"/>
      </w:pPr>
      <w:r w:rsidRPr="006A48AA">
        <w:t>http://www.res-per-nomen.org</w:t>
      </w:r>
    </w:p>
    <w:p w14:paraId="38B73B5F" w14:textId="77777777" w:rsidR="004B6637" w:rsidRPr="006A48AA" w:rsidRDefault="004B6637" w:rsidP="004B6637">
      <w:pPr>
        <w:jc w:val="center"/>
      </w:pPr>
    </w:p>
    <w:p w14:paraId="686D8D71" w14:textId="77777777" w:rsidR="00011426" w:rsidRPr="006A48AA" w:rsidRDefault="00011426" w:rsidP="006C2F1D">
      <w:pPr>
        <w:jc w:val="both"/>
        <w:rPr>
          <w:b/>
          <w:sz w:val="28"/>
          <w:szCs w:val="28"/>
        </w:rPr>
      </w:pPr>
    </w:p>
    <w:p w14:paraId="4DD81166" w14:textId="77777777" w:rsidR="000B633F" w:rsidRDefault="00855CE8" w:rsidP="006C2F1D">
      <w:pPr>
        <w:jc w:val="both"/>
        <w:rPr>
          <w:b/>
          <w:sz w:val="28"/>
          <w:szCs w:val="28"/>
        </w:rPr>
      </w:pPr>
      <w:r w:rsidRPr="00855CE8">
        <w:rPr>
          <w:b/>
          <w:sz w:val="28"/>
          <w:szCs w:val="28"/>
        </w:rPr>
        <w:t>Introduction</w:t>
      </w:r>
    </w:p>
    <w:p w14:paraId="75205EBA" w14:textId="77777777" w:rsidR="007A2B00" w:rsidRDefault="007A2B00" w:rsidP="003F60DC">
      <w:pPr>
        <w:ind w:firstLine="567"/>
        <w:jc w:val="both"/>
      </w:pPr>
    </w:p>
    <w:p w14:paraId="75DEFC41" w14:textId="0AA59523" w:rsidR="003F60DC" w:rsidRDefault="004B6637" w:rsidP="003F60DC">
      <w:pPr>
        <w:ind w:firstLine="567"/>
        <w:jc w:val="both"/>
      </w:pPr>
      <w:r>
        <w:t>Les linguiste</w:t>
      </w:r>
      <w:r w:rsidR="00C43137">
        <w:t>s</w:t>
      </w:r>
      <w:r>
        <w:t xml:space="preserve"> s’intéressent </w:t>
      </w:r>
      <w:r w:rsidR="00EB76D8">
        <w:t>rarement</w:t>
      </w:r>
      <w:r>
        <w:t xml:space="preserve"> à des courants </w:t>
      </w:r>
      <w:r w:rsidR="00447903">
        <w:t>th</w:t>
      </w:r>
      <w:r w:rsidR="00A10DD6">
        <w:t>é</w:t>
      </w:r>
      <w:r w:rsidR="00447903">
        <w:t xml:space="preserve">oriques </w:t>
      </w:r>
      <w:r>
        <w:t>portés par des auteurs dont ils n</w:t>
      </w:r>
      <w:r w:rsidR="00374123">
        <w:t>’ont pas appris</w:t>
      </w:r>
      <w:r>
        <w:t xml:space="preserve"> la langue.</w:t>
      </w:r>
      <w:r w:rsidR="00374123">
        <w:t xml:space="preserve"> Ils</w:t>
      </w:r>
      <w:r>
        <w:t xml:space="preserve"> v</w:t>
      </w:r>
      <w:r w:rsidR="00374123">
        <w:t>ont</w:t>
      </w:r>
      <w:r>
        <w:t xml:space="preserve"> </w:t>
      </w:r>
      <w:r w:rsidR="00AD2093">
        <w:t>prendre en compte les travaux écrits en langues dominantes, notamment en anglais,</w:t>
      </w:r>
      <w:r w:rsidR="00D25FA7">
        <w:t xml:space="preserve"> qu’ils le maîtrisent ou non,</w:t>
      </w:r>
      <w:r w:rsidR="00374123">
        <w:t xml:space="preserve"> parce qu’il est admis</w:t>
      </w:r>
      <w:r w:rsidR="00AD2093">
        <w:t xml:space="preserve"> qu’ils </w:t>
      </w:r>
      <w:r w:rsidR="00374123">
        <w:t xml:space="preserve">donnent accès à </w:t>
      </w:r>
      <w:r w:rsidR="00AD2093">
        <w:t xml:space="preserve">quelque chose </w:t>
      </w:r>
      <w:r w:rsidR="00374123">
        <w:t>d’universel</w:t>
      </w:r>
      <w:r w:rsidR="00AD2093">
        <w:t>. C’est souvent le cas, mais pas toujours, et alors on manque</w:t>
      </w:r>
      <w:r w:rsidR="00D14DBE">
        <w:t xml:space="preserve"> souvent</w:t>
      </w:r>
      <w:r w:rsidR="00AD2093">
        <w:t xml:space="preserve"> d’esprit critique. C’est ainsi que le générativisme a pu imposer dans le monde entier pendant</w:t>
      </w:r>
      <w:r w:rsidR="000E2D09">
        <w:t xml:space="preserve"> près</w:t>
      </w:r>
      <w:r w:rsidR="00AD2093">
        <w:t xml:space="preserve"> </w:t>
      </w:r>
      <w:r w:rsidR="000E2D09">
        <w:t>d’</w:t>
      </w:r>
      <w:r w:rsidR="00AD2093">
        <w:t>un demi-siècle des conceptions pseudo-scientifiques</w:t>
      </w:r>
      <w:r w:rsidR="003F60DC">
        <w:t xml:space="preserve"> </w:t>
      </w:r>
      <w:r w:rsidR="00FA17C0">
        <w:t>tout à fait discutables</w:t>
      </w:r>
      <w:r w:rsidR="00AD2093">
        <w:t xml:space="preserve"> et que le cognitivisme</w:t>
      </w:r>
      <w:r w:rsidR="000E2D09">
        <w:t xml:space="preserve"> </w:t>
      </w:r>
      <w:r w:rsidR="00AD2093">
        <w:t xml:space="preserve">règne en maître </w:t>
      </w:r>
      <w:r w:rsidR="00374123">
        <w:t>sans qu’on en perçoive les limites</w:t>
      </w:r>
      <w:r w:rsidR="00447903">
        <w:t>.</w:t>
      </w:r>
      <w:r w:rsidR="003F60DC">
        <w:t xml:space="preserve"> </w:t>
      </w:r>
    </w:p>
    <w:p w14:paraId="06803F08" w14:textId="77777777" w:rsidR="00A87225" w:rsidRDefault="00A87225" w:rsidP="003F60DC">
      <w:pPr>
        <w:ind w:firstLine="567"/>
        <w:jc w:val="both"/>
      </w:pPr>
    </w:p>
    <w:p w14:paraId="00FEBB4D" w14:textId="3AE6051C" w:rsidR="00855CE8" w:rsidRDefault="003F60DC" w:rsidP="00C83A91">
      <w:pPr>
        <w:ind w:firstLine="567"/>
        <w:jc w:val="both"/>
      </w:pPr>
      <w:r>
        <w:t xml:space="preserve">Les auteurs en langues moins </w:t>
      </w:r>
      <w:r w:rsidR="002E6EBB">
        <w:t>apprises</w:t>
      </w:r>
      <w:r>
        <w:t xml:space="preserve"> sont très peu </w:t>
      </w:r>
      <w:r w:rsidR="00447903">
        <w:t>étudiés</w:t>
      </w:r>
      <w:r>
        <w:t xml:space="preserve">. C’est le cas </w:t>
      </w:r>
      <w:r w:rsidR="00447903">
        <w:t xml:space="preserve">par exemple </w:t>
      </w:r>
      <w:r>
        <w:t xml:space="preserve">des lusophones, en particulier d’un des plus grands linguistes brésiliens, Eduardo </w:t>
      </w:r>
      <w:bookmarkStart w:id="1" w:name="_Hlk71635507"/>
      <w:r w:rsidR="00C83A91" w:rsidRPr="00C83A91">
        <w:t>Guimarães</w:t>
      </w:r>
      <w:bookmarkEnd w:id="1"/>
      <w:r>
        <w:t>, qui a développé une théorie tout à fait intéressante</w:t>
      </w:r>
      <w:r w:rsidR="005F0A75">
        <w:t>, la sémantique de l’événement</w:t>
      </w:r>
      <w:r>
        <w:t xml:space="preserve">. Je vais essayer de </w:t>
      </w:r>
      <w:r w:rsidR="00C83A91">
        <w:t xml:space="preserve">la </w:t>
      </w:r>
      <w:r w:rsidR="009A5C51">
        <w:t>caractéris</w:t>
      </w:r>
      <w:r>
        <w:t xml:space="preserve">er à partir du seul de ses textes que j’ai trouvé en français, </w:t>
      </w:r>
      <w:r w:rsidR="00C83A91">
        <w:t xml:space="preserve">et </w:t>
      </w:r>
      <w:r>
        <w:t xml:space="preserve">qui s’intitule </w:t>
      </w:r>
      <w:r w:rsidR="00855CE8">
        <w:t>« La marque du nom »</w:t>
      </w:r>
      <w:r w:rsidR="00C83A91">
        <w:t xml:space="preserve"> (</w:t>
      </w:r>
      <w:r w:rsidR="00855CE8">
        <w:t>2011</w:t>
      </w:r>
      <w:r w:rsidR="00C83A91">
        <w:t>)</w:t>
      </w:r>
      <w:r>
        <w:t xml:space="preserve">. Il </w:t>
      </w:r>
      <w:r w:rsidR="009A5C51">
        <w:t xml:space="preserve">y </w:t>
      </w:r>
      <w:r>
        <w:t xml:space="preserve">fait </w:t>
      </w:r>
      <w:r w:rsidR="009A5C51">
        <w:t xml:space="preserve">largement </w:t>
      </w:r>
      <w:r>
        <w:t xml:space="preserve">référence à </w:t>
      </w:r>
      <w:r w:rsidR="00C83A91">
        <w:t xml:space="preserve">son </w:t>
      </w:r>
      <w:r>
        <w:t>ouvrage principal</w:t>
      </w:r>
      <w:r w:rsidR="00C83A91" w:rsidRPr="00C83A91">
        <w:t xml:space="preserve"> </w:t>
      </w:r>
      <w:r w:rsidR="00C83A91">
        <w:t xml:space="preserve">sur la sémantique de l’événement, à savoir </w:t>
      </w:r>
      <w:proofErr w:type="spellStart"/>
      <w:r w:rsidR="00855CE8" w:rsidRPr="00C83A91">
        <w:rPr>
          <w:i/>
        </w:rPr>
        <w:t>Semântica</w:t>
      </w:r>
      <w:proofErr w:type="spellEnd"/>
      <w:r w:rsidR="00855CE8" w:rsidRPr="00C83A91">
        <w:rPr>
          <w:i/>
        </w:rPr>
        <w:t xml:space="preserve"> do </w:t>
      </w:r>
      <w:proofErr w:type="spellStart"/>
      <w:r w:rsidR="00855CE8" w:rsidRPr="00C83A91">
        <w:rPr>
          <w:i/>
        </w:rPr>
        <w:t>acontecimento</w:t>
      </w:r>
      <w:proofErr w:type="spellEnd"/>
      <w:r w:rsidR="00C83A91">
        <w:t xml:space="preserve"> (2</w:t>
      </w:r>
      <w:r w:rsidR="00A1232E" w:rsidRPr="00C83A91">
        <w:t>00</w:t>
      </w:r>
      <w:r w:rsidR="00161639">
        <w:t>2</w:t>
      </w:r>
      <w:r w:rsidR="00C83A91">
        <w:t>), dont il reprend les points principaux. J</w:t>
      </w:r>
      <w:r w:rsidR="00447903">
        <w:t>’en profiterai pour établir</w:t>
      </w:r>
      <w:r w:rsidR="00C83A91">
        <w:t xml:space="preserve"> des parallèles avec la sémantique de la dénomination et de la référence </w:t>
      </w:r>
      <w:r w:rsidR="009A5C51">
        <w:t xml:space="preserve">que </w:t>
      </w:r>
      <w:r w:rsidR="00C83A91">
        <w:t>Georges Kleiber</w:t>
      </w:r>
      <w:r w:rsidR="009A5C51">
        <w:t xml:space="preserve"> a introduit</w:t>
      </w:r>
      <w:r w:rsidR="00A10DD6">
        <w:t>e</w:t>
      </w:r>
      <w:r w:rsidR="009A5C51">
        <w:t xml:space="preserve"> dans notre discipline</w:t>
      </w:r>
      <w:r w:rsidR="00DA62DF">
        <w:t xml:space="preserve"> (</w:t>
      </w:r>
      <w:r w:rsidR="00CB318B">
        <w:t>notamment</w:t>
      </w:r>
      <w:r w:rsidR="00DA62DF">
        <w:t xml:space="preserve"> dans</w:t>
      </w:r>
      <w:r w:rsidR="00CB318B">
        <w:t xml:space="preserve"> Kleiber 1994</w:t>
      </w:r>
      <w:r w:rsidR="00DA62DF">
        <w:t>)</w:t>
      </w:r>
      <w:r w:rsidR="00C83A91">
        <w:t xml:space="preserve"> et que j’ai adoptée dans mes </w:t>
      </w:r>
      <w:r w:rsidR="000D2D68">
        <w:t xml:space="preserve">propres </w:t>
      </w:r>
      <w:r w:rsidR="00C83A91">
        <w:t>travaux.</w:t>
      </w:r>
    </w:p>
    <w:p w14:paraId="487C3FF8" w14:textId="77777777" w:rsidR="00EC622E" w:rsidRDefault="00EC622E" w:rsidP="00C83A91">
      <w:pPr>
        <w:ind w:firstLine="567"/>
        <w:jc w:val="both"/>
      </w:pPr>
    </w:p>
    <w:p w14:paraId="47641E96" w14:textId="08E660DA" w:rsidR="00F92906" w:rsidRDefault="00F92906" w:rsidP="00C83A91">
      <w:pPr>
        <w:ind w:firstLine="567"/>
        <w:jc w:val="both"/>
      </w:pPr>
      <w:r>
        <w:t>Pour que le lecteur</w:t>
      </w:r>
      <w:r w:rsidR="00EC622E">
        <w:t xml:space="preserve"> </w:t>
      </w:r>
      <w:r w:rsidR="00264797">
        <w:t xml:space="preserve">francophone </w:t>
      </w:r>
      <w:r w:rsidR="00EC622E">
        <w:t>non familiarisé</w:t>
      </w:r>
      <w:r>
        <w:t xml:space="preserve"> </w:t>
      </w:r>
      <w:r w:rsidR="00EC622E">
        <w:t xml:space="preserve">avec cette approche </w:t>
      </w:r>
      <w:r>
        <w:t>puisse</w:t>
      </w:r>
      <w:r w:rsidR="00EC622E">
        <w:t xml:space="preserve"> </w:t>
      </w:r>
      <w:r w:rsidR="009C6F13">
        <w:t>prendre contact</w:t>
      </w:r>
      <w:r>
        <w:t xml:space="preserve"> </w:t>
      </w:r>
      <w:r w:rsidR="009C6F13">
        <w:t>avec les</w:t>
      </w:r>
      <w:r>
        <w:t xml:space="preserve"> travaux de </w:t>
      </w:r>
      <w:r w:rsidR="00546680">
        <w:t>Guimarães</w:t>
      </w:r>
      <w:r>
        <w:t>, je donnerai de larges extraits de son texte suivis de commentaires.</w:t>
      </w:r>
    </w:p>
    <w:p w14:paraId="66F64160" w14:textId="77777777" w:rsidR="005F0A75" w:rsidRDefault="005F0A75" w:rsidP="006C2F1D">
      <w:pPr>
        <w:pStyle w:val="texte"/>
        <w:spacing w:before="0" w:beforeAutospacing="0" w:after="0" w:afterAutospacing="0"/>
        <w:jc w:val="both"/>
        <w:rPr>
          <w:b/>
          <w:sz w:val="28"/>
          <w:szCs w:val="28"/>
        </w:rPr>
      </w:pPr>
    </w:p>
    <w:p w14:paraId="1036DFDD" w14:textId="77777777" w:rsidR="001534B5" w:rsidRPr="00631422" w:rsidRDefault="001534B5" w:rsidP="006C2F1D">
      <w:pPr>
        <w:pStyle w:val="texte"/>
        <w:spacing w:before="0" w:beforeAutospacing="0" w:after="0" w:afterAutospacing="0"/>
        <w:jc w:val="both"/>
        <w:rPr>
          <w:b/>
          <w:sz w:val="28"/>
          <w:szCs w:val="28"/>
        </w:rPr>
      </w:pPr>
      <w:r w:rsidRPr="00631422">
        <w:rPr>
          <w:b/>
          <w:sz w:val="28"/>
          <w:szCs w:val="28"/>
        </w:rPr>
        <w:t>La sémantique de l’événement</w:t>
      </w:r>
      <w:r w:rsidR="000D2D68">
        <w:rPr>
          <w:b/>
          <w:sz w:val="28"/>
          <w:szCs w:val="28"/>
        </w:rPr>
        <w:t> : notions générales</w:t>
      </w:r>
      <w:r w:rsidRPr="00631422">
        <w:rPr>
          <w:b/>
          <w:sz w:val="28"/>
          <w:szCs w:val="28"/>
        </w:rPr>
        <w:t xml:space="preserve"> </w:t>
      </w:r>
    </w:p>
    <w:p w14:paraId="2436C88D" w14:textId="77777777" w:rsidR="007A2B00" w:rsidRDefault="007A2B00" w:rsidP="00563F59">
      <w:pPr>
        <w:pStyle w:val="texte"/>
        <w:spacing w:before="0" w:beforeAutospacing="0" w:after="0" w:afterAutospacing="0"/>
        <w:ind w:firstLine="567"/>
        <w:jc w:val="both"/>
      </w:pPr>
    </w:p>
    <w:p w14:paraId="64B88397" w14:textId="343CC39B" w:rsidR="009A5C51" w:rsidRDefault="009A5C51" w:rsidP="00563F59">
      <w:pPr>
        <w:pStyle w:val="texte"/>
        <w:spacing w:before="0" w:beforeAutospacing="0" w:after="0" w:afterAutospacing="0"/>
        <w:ind w:firstLine="567"/>
        <w:jc w:val="both"/>
      </w:pPr>
      <w:r>
        <w:t xml:space="preserve">Pour faire comprendre son point de vue, </w:t>
      </w:r>
      <w:bookmarkStart w:id="2" w:name="_Hlk71633714"/>
      <w:r w:rsidR="00546680">
        <w:t>Guimarães</w:t>
      </w:r>
      <w:r>
        <w:t xml:space="preserve"> </w:t>
      </w:r>
      <w:bookmarkEnd w:id="2"/>
      <w:r>
        <w:t xml:space="preserve">évoque la bombe à neutrons, une arme nucléaire </w:t>
      </w:r>
      <w:r w:rsidR="000E2D09">
        <w:t xml:space="preserve">tactique </w:t>
      </w:r>
      <w:r w:rsidR="00447903">
        <w:t xml:space="preserve">installée en Europe </w:t>
      </w:r>
      <w:r>
        <w:t>d</w:t>
      </w:r>
      <w:r w:rsidR="00447903">
        <w:t>ans les</w:t>
      </w:r>
      <w:r>
        <w:t xml:space="preserve"> années </w:t>
      </w:r>
      <w:r w:rsidR="007123C0">
        <w:t>19</w:t>
      </w:r>
      <w:r>
        <w:t>80 dont l’explosion est peu puissante</w:t>
      </w:r>
      <w:r w:rsidR="007123C0">
        <w:t>,</w:t>
      </w:r>
      <w:r>
        <w:t xml:space="preserve"> mais qui </w:t>
      </w:r>
      <w:r w:rsidR="00736B61">
        <w:t>émet</w:t>
      </w:r>
      <w:r>
        <w:t xml:space="preserve"> une grande quantité de radiations</w:t>
      </w:r>
      <w:r w:rsidR="000E2D09">
        <w:t xml:space="preserve"> mortelles pour les habitants. Les villes</w:t>
      </w:r>
      <w:r w:rsidR="00FE19DE">
        <w:t xml:space="preserve"> touchées seraient alors relativement peu détruites </w:t>
      </w:r>
      <w:r w:rsidR="000E2D09">
        <w:t xml:space="preserve">mais </w:t>
      </w:r>
      <w:r w:rsidR="00FE19DE">
        <w:t xml:space="preserve">elles seraient largement </w:t>
      </w:r>
      <w:r w:rsidR="000E2D09">
        <w:t>dépeuplées</w:t>
      </w:r>
      <w:r w:rsidR="00FE19DE">
        <w:t>.</w:t>
      </w:r>
      <w:r w:rsidR="00563F59">
        <w:t xml:space="preserve"> </w:t>
      </w:r>
      <w:r w:rsidR="00FE19DE">
        <w:t xml:space="preserve">Elles </w:t>
      </w:r>
      <w:r w:rsidR="00563F59">
        <w:t>conserverai</w:t>
      </w:r>
      <w:r w:rsidR="00FE19DE">
        <w:t>en</w:t>
      </w:r>
      <w:r w:rsidR="00563F59">
        <w:t xml:space="preserve">t </w:t>
      </w:r>
      <w:r w:rsidR="00FE19DE">
        <w:t xml:space="preserve">cependant </w:t>
      </w:r>
      <w:r w:rsidR="00563F59">
        <w:t xml:space="preserve">les traces culturelles et linguistiques </w:t>
      </w:r>
      <w:r w:rsidR="002E6EBB">
        <w:t xml:space="preserve">de </w:t>
      </w:r>
      <w:r w:rsidR="009C6F13">
        <w:t xml:space="preserve">la </w:t>
      </w:r>
      <w:r w:rsidR="002E6EBB">
        <w:t>transformation d’</w:t>
      </w:r>
      <w:r w:rsidR="001133C2">
        <w:t xml:space="preserve">une géographie </w:t>
      </w:r>
      <w:r w:rsidR="00563F59">
        <w:t>en un espace social</w:t>
      </w:r>
      <w:r w:rsidR="00185B58" w:rsidRPr="00185B58">
        <w:t xml:space="preserve"> </w:t>
      </w:r>
      <w:r w:rsidR="00185B58">
        <w:t>effectué</w:t>
      </w:r>
      <w:r w:rsidR="009C6F13">
        <w:t>e</w:t>
      </w:r>
      <w:r w:rsidR="00185B58">
        <w:t xml:space="preserve"> par ses habitants</w:t>
      </w:r>
      <w:r w:rsidR="00563F59">
        <w:t>, un p</w:t>
      </w:r>
      <w:r w:rsidR="002E6EBB">
        <w:t>hénomène qui se produit</w:t>
      </w:r>
      <w:r w:rsidR="00736B61">
        <w:t>,</w:t>
      </w:r>
      <w:r w:rsidR="00563F59">
        <w:t xml:space="preserve"> selon </w:t>
      </w:r>
      <w:r w:rsidR="00546680">
        <w:t>Guimarães</w:t>
      </w:r>
      <w:r w:rsidR="00736B61">
        <w:t>,</w:t>
      </w:r>
      <w:r w:rsidR="00563F59">
        <w:t xml:space="preserve"> à part</w:t>
      </w:r>
      <w:r w:rsidR="002E6EBB">
        <w:t>ir</w:t>
      </w:r>
      <w:r w:rsidR="00563F59">
        <w:t xml:space="preserve"> de significations </w:t>
      </w:r>
      <w:r w:rsidR="007F7416">
        <w:t xml:space="preserve">existantes </w:t>
      </w:r>
      <w:r w:rsidR="00563F59">
        <w:t>et qui en produit d’autres</w:t>
      </w:r>
      <w:r w:rsidR="002E6EBB">
        <w:t xml:space="preserve"> dans un flux continu.</w:t>
      </w:r>
    </w:p>
    <w:p w14:paraId="159D24CE" w14:textId="77777777" w:rsidR="00A87225" w:rsidRDefault="00A87225" w:rsidP="00563F59">
      <w:pPr>
        <w:pStyle w:val="texte"/>
        <w:spacing w:before="0" w:beforeAutospacing="0" w:after="0" w:afterAutospacing="0"/>
        <w:ind w:firstLine="567"/>
        <w:jc w:val="both"/>
      </w:pPr>
    </w:p>
    <w:p w14:paraId="2B458B58" w14:textId="5E49F3BF" w:rsidR="007123C0" w:rsidRDefault="00736B61" w:rsidP="002E6EBB">
      <w:pPr>
        <w:pStyle w:val="texte"/>
        <w:spacing w:before="0" w:beforeAutospacing="0" w:after="0" w:afterAutospacing="0"/>
        <w:ind w:firstLine="567"/>
        <w:jc w:val="both"/>
      </w:pPr>
      <w:r>
        <w:lastRenderedPageBreak/>
        <w:t>L</w:t>
      </w:r>
      <w:r w:rsidR="00563F59">
        <w:t>e sens est le fruit d’« un processus historique de constitution ». « Donner un nom</w:t>
      </w:r>
      <w:r w:rsidR="001133C2">
        <w:t xml:space="preserve"> à quelque chose</w:t>
      </w:r>
      <w:r w:rsidR="00563F59">
        <w:t xml:space="preserve">, </w:t>
      </w:r>
      <w:r w:rsidR="001133C2">
        <w:t>c’est lui donner une existence historique »,</w:t>
      </w:r>
      <w:r w:rsidR="00563F59">
        <w:t xml:space="preserve"> </w:t>
      </w:r>
      <w:r w:rsidR="001133C2">
        <w:t>dit</w:t>
      </w:r>
      <w:r w:rsidR="002629D3">
        <w:t xml:space="preserve"> </w:t>
      </w:r>
      <w:r w:rsidR="002629D3" w:rsidRPr="00C83A91">
        <w:t>Guimarães</w:t>
      </w:r>
      <w:r w:rsidR="002629D3">
        <w:t>.</w:t>
      </w:r>
      <w:r w:rsidR="001133C2">
        <w:t xml:space="preserve"> C’est l’inscrire dans un monde affecté par le langage, c’est le distinguer « de la masse hétérogène des autres objets ». « Nommer, c’est donc distinguer ».</w:t>
      </w:r>
      <w:r>
        <w:t xml:space="preserve"> Et l’événement au cours duquel la chose est nommée fait partie du sens</w:t>
      </w:r>
      <w:r w:rsidR="006C7ED4">
        <w:t xml:space="preserve"> du nom.</w:t>
      </w:r>
      <w:r w:rsidR="00A87225">
        <w:t xml:space="preserve"> </w:t>
      </w:r>
      <w:r w:rsidRPr="006C7ED4">
        <w:t xml:space="preserve">La tâche que </w:t>
      </w:r>
      <w:r w:rsidR="00546680">
        <w:t>Guimarães</w:t>
      </w:r>
      <w:r w:rsidRPr="006C7ED4">
        <w:t xml:space="preserve"> s’est fixée est d’</w:t>
      </w:r>
    </w:p>
    <w:p w14:paraId="61FD97D8" w14:textId="77777777" w:rsidR="007123C0" w:rsidRDefault="007123C0" w:rsidP="002E6EBB">
      <w:pPr>
        <w:pStyle w:val="texte"/>
        <w:spacing w:before="0" w:beforeAutospacing="0" w:after="0" w:afterAutospacing="0"/>
        <w:ind w:firstLine="567"/>
        <w:jc w:val="both"/>
      </w:pPr>
    </w:p>
    <w:p w14:paraId="56CE8344" w14:textId="69895000" w:rsidR="007123C0" w:rsidRDefault="00736B61" w:rsidP="007123C0">
      <w:pPr>
        <w:pStyle w:val="texte"/>
        <w:spacing w:before="0" w:beforeAutospacing="0" w:after="0" w:afterAutospacing="0"/>
        <w:ind w:left="284"/>
        <w:jc w:val="both"/>
      </w:pPr>
      <w:proofErr w:type="gramStart"/>
      <w:r w:rsidRPr="007123C0">
        <w:rPr>
          <w:sz w:val="22"/>
          <w:szCs w:val="22"/>
        </w:rPr>
        <w:t>analyser</w:t>
      </w:r>
      <w:proofErr w:type="gramEnd"/>
      <w:r w:rsidRPr="007123C0">
        <w:rPr>
          <w:sz w:val="22"/>
          <w:szCs w:val="22"/>
        </w:rPr>
        <w:t xml:space="preserve"> le sens des noms tels qu’ils sont constitués dans l’événement. [Il] considère que l’événement d’énonciation constitue un sens car il installe une temporalité spécifique (passé, présent, futur). Ainsi, dans l’énonciation, le sujet est constitué par cette temporalité et il n’est l’origine ni de cette temporalité, ni de l’événemen</w:t>
      </w:r>
      <w:r w:rsidR="006C7ED4" w:rsidRPr="007123C0">
        <w:rPr>
          <w:sz w:val="22"/>
          <w:szCs w:val="22"/>
        </w:rPr>
        <w:t>t</w:t>
      </w:r>
      <w:r w:rsidR="006C7ED4" w:rsidRPr="006C7ED4">
        <w:t xml:space="preserve">. </w:t>
      </w:r>
    </w:p>
    <w:p w14:paraId="3D86F8C0" w14:textId="77777777" w:rsidR="007123C0" w:rsidRDefault="007123C0" w:rsidP="007123C0">
      <w:pPr>
        <w:pStyle w:val="texte"/>
        <w:spacing w:before="0" w:beforeAutospacing="0" w:after="0" w:afterAutospacing="0"/>
        <w:jc w:val="both"/>
      </w:pPr>
    </w:p>
    <w:p w14:paraId="4899AA5C" w14:textId="4B8EBA1E" w:rsidR="006C7ED4" w:rsidRDefault="002E6EBB" w:rsidP="007123C0">
      <w:pPr>
        <w:pStyle w:val="texte"/>
        <w:spacing w:before="0" w:beforeAutospacing="0" w:after="0" w:afterAutospacing="0"/>
        <w:jc w:val="both"/>
      </w:pPr>
      <w:r>
        <w:t xml:space="preserve">Pour étudier ce processus, </w:t>
      </w:r>
      <w:r w:rsidR="00546680">
        <w:t>Guimarães</w:t>
      </w:r>
      <w:r w:rsidR="006C7ED4" w:rsidRPr="006C7ED4">
        <w:t xml:space="preserve"> se propose d’observer des noms </w:t>
      </w:r>
      <w:r w:rsidR="00EB76D8">
        <w:t xml:space="preserve">de magasins </w:t>
      </w:r>
      <w:r w:rsidR="006C7ED4" w:rsidRPr="006C7ED4">
        <w:t>dans l</w:t>
      </w:r>
      <w:r w:rsidR="00FE19DE">
        <w:t>es villes</w:t>
      </w:r>
      <w:r w:rsidR="00EB76D8">
        <w:t xml:space="preserve"> </w:t>
      </w:r>
      <w:r w:rsidR="006C7ED4" w:rsidRPr="006C7ED4">
        <w:t>pour réfléchir à « la symbolisation de l’espace urbain ».</w:t>
      </w:r>
      <w:r>
        <w:t xml:space="preserve"> On en verra des exemples plus loin.</w:t>
      </w:r>
    </w:p>
    <w:p w14:paraId="4A2955C0" w14:textId="77777777" w:rsidR="00A87225" w:rsidRDefault="00A87225" w:rsidP="00A87225">
      <w:pPr>
        <w:pStyle w:val="texte"/>
        <w:spacing w:before="0" w:beforeAutospacing="0" w:after="0" w:afterAutospacing="0"/>
        <w:jc w:val="both"/>
      </w:pPr>
    </w:p>
    <w:p w14:paraId="2ECB87C9" w14:textId="02371132" w:rsidR="0079253D" w:rsidRDefault="006C7ED4" w:rsidP="006C7ED4">
      <w:pPr>
        <w:pStyle w:val="texte"/>
        <w:spacing w:before="0" w:beforeAutospacing="0" w:after="0" w:afterAutospacing="0"/>
        <w:ind w:firstLine="567"/>
        <w:jc w:val="both"/>
      </w:pPr>
      <w:r>
        <w:t>Pou</w:t>
      </w:r>
      <w:r w:rsidR="0079253D">
        <w:t xml:space="preserve">r </w:t>
      </w:r>
      <w:r w:rsidR="00546680">
        <w:t>Guimarães</w:t>
      </w:r>
      <w:r w:rsidR="0079253D">
        <w:t xml:space="preserve">, </w:t>
      </w:r>
      <w:r>
        <w:t>l</w:t>
      </w:r>
      <w:r w:rsidR="00355B44">
        <w:t xml:space="preserve">a relation du langage avec le réel est </w:t>
      </w:r>
      <w:r w:rsidR="0079253D">
        <w:t xml:space="preserve">ainsi </w:t>
      </w:r>
      <w:r w:rsidR="00355B44">
        <w:t>historique</w:t>
      </w:r>
      <w:r>
        <w:t xml:space="preserve">. </w:t>
      </w:r>
      <w:r w:rsidR="00185B58">
        <w:t>L</w:t>
      </w:r>
      <w:r>
        <w:t>es sujets</w:t>
      </w:r>
      <w:r w:rsidR="00855CE8">
        <w:t xml:space="preserve"> construisent la géographie de l’espace social</w:t>
      </w:r>
      <w:r w:rsidR="0079253D">
        <w:t xml:space="preserve"> à travers l’énonciation</w:t>
      </w:r>
      <w:r>
        <w:t>. Ils</w:t>
      </w:r>
      <w:r w:rsidR="00855CE8">
        <w:t xml:space="preserve"> sont </w:t>
      </w:r>
      <w:r w:rsidR="00032D80">
        <w:t xml:space="preserve">insérés </w:t>
      </w:r>
      <w:r w:rsidR="00855CE8">
        <w:t>dan</w:t>
      </w:r>
      <w:r w:rsidR="006E4DC6">
        <w:t>s un continuum historique de signification</w:t>
      </w:r>
      <w:r w:rsidR="00855CE8">
        <w:t xml:space="preserve">s ; ils sont un </w:t>
      </w:r>
      <w:r w:rsidR="006E4DC6">
        <w:t>élément dans une chaîne dont ils héritent et qu’ils transforment</w:t>
      </w:r>
      <w:r>
        <w:t xml:space="preserve">. </w:t>
      </w:r>
      <w:r w:rsidR="006E4DC6">
        <w:t>Cette construction est un événement permanent, qui const</w:t>
      </w:r>
      <w:r w:rsidR="00515C58">
        <w:t>itue le sens, qui EST le</w:t>
      </w:r>
      <w:r w:rsidR="006E4DC6">
        <w:t xml:space="preserve"> sens</w:t>
      </w:r>
      <w:r>
        <w:t xml:space="preserve">. </w:t>
      </w:r>
    </w:p>
    <w:p w14:paraId="5124E61C" w14:textId="77777777" w:rsidR="00CF0E09" w:rsidRDefault="00CF0E09" w:rsidP="006C7ED4">
      <w:pPr>
        <w:pStyle w:val="texte"/>
        <w:spacing w:before="0" w:beforeAutospacing="0" w:after="0" w:afterAutospacing="0"/>
        <w:ind w:firstLine="567"/>
        <w:jc w:val="both"/>
      </w:pPr>
    </w:p>
    <w:p w14:paraId="0F9CB3F0" w14:textId="1BCD37B0" w:rsidR="006E4DC6" w:rsidRDefault="00546680" w:rsidP="006C7ED4">
      <w:pPr>
        <w:pStyle w:val="texte"/>
        <w:spacing w:before="0" w:beforeAutospacing="0" w:after="0" w:afterAutospacing="0"/>
        <w:ind w:firstLine="567"/>
        <w:jc w:val="both"/>
      </w:pPr>
      <w:r>
        <w:t>Guimarães</w:t>
      </w:r>
      <w:r w:rsidR="00032D80">
        <w:t xml:space="preserve"> se positionne explicitement c</w:t>
      </w:r>
      <w:r w:rsidR="006E4DC6">
        <w:t>ontre Benveniste</w:t>
      </w:r>
      <w:r w:rsidR="0079253D">
        <w:t xml:space="preserve"> dans </w:t>
      </w:r>
      <w:r w:rsidR="006E4DC6">
        <w:t>« Le langage et l’expérience humaine »</w:t>
      </w:r>
      <w:r w:rsidR="006C7ED4">
        <w:t xml:space="preserve"> (</w:t>
      </w:r>
      <w:r w:rsidR="00A10DD6">
        <w:t>1974 :</w:t>
      </w:r>
      <w:r w:rsidR="006E4DC6" w:rsidRPr="00631422">
        <w:t xml:space="preserve"> 67-79</w:t>
      </w:r>
      <w:r w:rsidR="006C7ED4">
        <w:t>),</w:t>
      </w:r>
      <w:r w:rsidR="006E4DC6">
        <w:t xml:space="preserve"> célèbre texte où Benveniste distingue le temps </w:t>
      </w:r>
      <w:r w:rsidR="006E4DC6" w:rsidRPr="006E4DC6">
        <w:rPr>
          <w:i/>
        </w:rPr>
        <w:t>physique</w:t>
      </w:r>
      <w:r w:rsidR="006E4DC6">
        <w:t xml:space="preserve"> (celui de la nature, celui des physiciens), le temps </w:t>
      </w:r>
      <w:r w:rsidR="006E4DC6" w:rsidRPr="006E4DC6">
        <w:rPr>
          <w:i/>
        </w:rPr>
        <w:t>chronique</w:t>
      </w:r>
      <w:r w:rsidR="006E4DC6">
        <w:t xml:space="preserve"> (celui du calendrier basé sur des événements cosmiques : le jour, le mois, l’année), et le temps </w:t>
      </w:r>
      <w:r w:rsidR="006E4DC6" w:rsidRPr="006E4DC6">
        <w:rPr>
          <w:i/>
        </w:rPr>
        <w:t>linguistique</w:t>
      </w:r>
      <w:r w:rsidR="006E4DC6">
        <w:t xml:space="preserve">, celui de l’énonciation, du </w:t>
      </w:r>
      <w:r w:rsidR="00FB6E75">
        <w:t>« </w:t>
      </w:r>
      <w:r w:rsidR="006E4DC6">
        <w:t xml:space="preserve">je » </w:t>
      </w:r>
      <w:r w:rsidR="006E4DC6" w:rsidRPr="006E4DC6">
        <w:rPr>
          <w:i/>
        </w:rPr>
        <w:t>hic et nunc</w:t>
      </w:r>
      <w:r w:rsidR="006E4DC6">
        <w:t xml:space="preserve">, qui est en fait le présent. </w:t>
      </w:r>
      <w:r>
        <w:t>Guimarães</w:t>
      </w:r>
      <w:r w:rsidR="006C7ED4">
        <w:t xml:space="preserve"> ne </w:t>
      </w:r>
      <w:r w:rsidR="00CF0E09">
        <w:t>précise</w:t>
      </w:r>
      <w:r w:rsidR="006C7ED4">
        <w:t xml:space="preserve"> pas les passages de Benveniste contre lesquels il se positionne, mais en relisant texte</w:t>
      </w:r>
      <w:r w:rsidR="002629D3">
        <w:t xml:space="preserve"> de </w:t>
      </w:r>
      <w:proofErr w:type="spellStart"/>
      <w:r w:rsidR="002629D3">
        <w:t>Benvéniste</w:t>
      </w:r>
      <w:proofErr w:type="spellEnd"/>
      <w:r w:rsidR="006C7ED4">
        <w:t xml:space="preserve">, </w:t>
      </w:r>
      <w:r w:rsidR="00FB6E75">
        <w:t xml:space="preserve">je pense qu’il </w:t>
      </w:r>
      <w:r w:rsidR="00CF0E09">
        <w:t xml:space="preserve">pourrait </w:t>
      </w:r>
      <w:r w:rsidR="00FB6E75">
        <w:t>s’agi</w:t>
      </w:r>
      <w:r w:rsidR="00CF0E09">
        <w:t>r</w:t>
      </w:r>
      <w:r w:rsidR="00FB6E75">
        <w:t xml:space="preserve"> des extraits suivants :</w:t>
      </w:r>
    </w:p>
    <w:p w14:paraId="09AFCA05" w14:textId="77777777" w:rsidR="00A87225" w:rsidRDefault="00A87225" w:rsidP="00FB6E75">
      <w:pPr>
        <w:ind w:left="567"/>
        <w:jc w:val="both"/>
      </w:pPr>
    </w:p>
    <w:p w14:paraId="764D8DB1" w14:textId="15DFD1F3" w:rsidR="007123C0" w:rsidRPr="007123C0" w:rsidRDefault="00A1232E" w:rsidP="007123C0">
      <w:pPr>
        <w:ind w:left="284"/>
        <w:jc w:val="both"/>
        <w:rPr>
          <w:sz w:val="22"/>
          <w:szCs w:val="22"/>
        </w:rPr>
      </w:pPr>
      <w:r w:rsidRPr="007123C0">
        <w:rPr>
          <w:sz w:val="22"/>
          <w:szCs w:val="22"/>
        </w:rPr>
        <w:t>Ce que le temps linguistique a de singulier, est qu’il est organiquement lié à l’exercice de la parole, qu’il se définit et s’ordonne comme fonction du discour</w:t>
      </w:r>
      <w:r w:rsidR="007123C0" w:rsidRPr="007123C0">
        <w:rPr>
          <w:sz w:val="22"/>
          <w:szCs w:val="22"/>
        </w:rPr>
        <w:t>s</w:t>
      </w:r>
      <w:r w:rsidRPr="007123C0">
        <w:rPr>
          <w:sz w:val="22"/>
          <w:szCs w:val="22"/>
        </w:rPr>
        <w:t xml:space="preserve"> (</w:t>
      </w:r>
      <w:proofErr w:type="spellStart"/>
      <w:r w:rsidR="002629D3">
        <w:rPr>
          <w:sz w:val="22"/>
          <w:szCs w:val="22"/>
        </w:rPr>
        <w:t>Benv</w:t>
      </w:r>
      <w:r w:rsidR="00EC49F5">
        <w:rPr>
          <w:sz w:val="22"/>
          <w:szCs w:val="22"/>
        </w:rPr>
        <w:t>é</w:t>
      </w:r>
      <w:r w:rsidR="002629D3">
        <w:rPr>
          <w:sz w:val="22"/>
          <w:szCs w:val="22"/>
        </w:rPr>
        <w:t>niste</w:t>
      </w:r>
      <w:proofErr w:type="spellEnd"/>
      <w:r w:rsidR="002629D3">
        <w:rPr>
          <w:sz w:val="22"/>
          <w:szCs w:val="22"/>
        </w:rPr>
        <w:t xml:space="preserve"> 1974</w:t>
      </w:r>
      <w:r w:rsidR="00EC49F5">
        <w:rPr>
          <w:sz w:val="22"/>
          <w:szCs w:val="22"/>
        </w:rPr>
        <w:t> :</w:t>
      </w:r>
      <w:r w:rsidR="007123C0">
        <w:rPr>
          <w:sz w:val="22"/>
          <w:szCs w:val="22"/>
        </w:rPr>
        <w:t xml:space="preserve"> </w:t>
      </w:r>
      <w:r w:rsidRPr="007123C0">
        <w:rPr>
          <w:sz w:val="22"/>
          <w:szCs w:val="22"/>
        </w:rPr>
        <w:t>73)</w:t>
      </w:r>
      <w:r w:rsidR="00FB6E75" w:rsidRPr="007123C0">
        <w:rPr>
          <w:sz w:val="22"/>
          <w:szCs w:val="22"/>
        </w:rPr>
        <w:t>.</w:t>
      </w:r>
    </w:p>
    <w:p w14:paraId="062BFBD2" w14:textId="06318D88" w:rsidR="00FB6E75" w:rsidRPr="007123C0" w:rsidRDefault="00A1232E" w:rsidP="007123C0">
      <w:pPr>
        <w:ind w:left="284"/>
        <w:jc w:val="both"/>
        <w:rPr>
          <w:sz w:val="22"/>
          <w:szCs w:val="22"/>
        </w:rPr>
      </w:pPr>
      <w:r w:rsidRPr="007123C0">
        <w:rPr>
          <w:sz w:val="22"/>
          <w:szCs w:val="22"/>
        </w:rPr>
        <w:t> </w:t>
      </w:r>
      <w:r w:rsidR="0040457A" w:rsidRPr="007123C0">
        <w:rPr>
          <w:sz w:val="22"/>
          <w:szCs w:val="22"/>
        </w:rPr>
        <w:t xml:space="preserve">… </w:t>
      </w:r>
      <w:r w:rsidRPr="007123C0">
        <w:rPr>
          <w:sz w:val="22"/>
          <w:szCs w:val="22"/>
        </w:rPr>
        <w:t>l</w:t>
      </w:r>
      <w:r w:rsidR="007123C0">
        <w:rPr>
          <w:sz w:val="22"/>
          <w:szCs w:val="22"/>
        </w:rPr>
        <w:t>’</w:t>
      </w:r>
      <w:r w:rsidRPr="007123C0">
        <w:rPr>
          <w:sz w:val="22"/>
          <w:szCs w:val="22"/>
        </w:rPr>
        <w:t>acte de parole est nécessairement individuel ; en conséquence la temporalité linguistique devrait se réaliser dans l’univers intrapersonnel du locuteur comme une expérience irrémédiablement subjective et impossible à transmettre</w:t>
      </w:r>
      <w:r w:rsidR="0040457A" w:rsidRPr="007123C0">
        <w:rPr>
          <w:sz w:val="22"/>
          <w:szCs w:val="22"/>
        </w:rPr>
        <w:t> </w:t>
      </w:r>
      <w:r w:rsidR="00FB6E75" w:rsidRPr="007123C0">
        <w:rPr>
          <w:sz w:val="22"/>
          <w:szCs w:val="22"/>
        </w:rPr>
        <w:t>(</w:t>
      </w:r>
      <w:r w:rsidR="00EC49F5">
        <w:rPr>
          <w:sz w:val="22"/>
          <w:szCs w:val="22"/>
        </w:rPr>
        <w:t>Ibidem :</w:t>
      </w:r>
      <w:r w:rsidR="00FB6E75" w:rsidRPr="007123C0">
        <w:rPr>
          <w:sz w:val="22"/>
          <w:szCs w:val="22"/>
        </w:rPr>
        <w:t xml:space="preserve"> 77).</w:t>
      </w:r>
      <w:r w:rsidR="0040457A" w:rsidRPr="007123C0">
        <w:rPr>
          <w:sz w:val="22"/>
          <w:szCs w:val="22"/>
        </w:rPr>
        <w:t xml:space="preserve"> </w:t>
      </w:r>
    </w:p>
    <w:p w14:paraId="606855D1" w14:textId="02E117A6" w:rsidR="00A1232E" w:rsidRPr="007123C0" w:rsidRDefault="0040457A" w:rsidP="007123C0">
      <w:pPr>
        <w:ind w:left="284"/>
        <w:jc w:val="both"/>
        <w:rPr>
          <w:sz w:val="22"/>
          <w:szCs w:val="22"/>
        </w:rPr>
      </w:pPr>
      <w:r w:rsidRPr="007123C0">
        <w:rPr>
          <w:sz w:val="22"/>
          <w:szCs w:val="22"/>
        </w:rPr>
        <w:t>Mais le raisonnement est en défaut. Quelque chose de singulier, de très simple et d’infiniment important se produit qui accomplit ce qui logiquement semblait impossible : la temporalité qui est mienne quand elle ordonne mon discours est d’emblée accepté</w:t>
      </w:r>
      <w:r w:rsidR="00032D80" w:rsidRPr="007123C0">
        <w:rPr>
          <w:sz w:val="22"/>
          <w:szCs w:val="22"/>
        </w:rPr>
        <w:t>e</w:t>
      </w:r>
      <w:r w:rsidRPr="007123C0">
        <w:rPr>
          <w:sz w:val="22"/>
          <w:szCs w:val="22"/>
        </w:rPr>
        <w:t xml:space="preserve"> comme sienne par mon interlocuteur (</w:t>
      </w:r>
      <w:r w:rsidR="00EC49F5">
        <w:rPr>
          <w:sz w:val="22"/>
          <w:szCs w:val="22"/>
        </w:rPr>
        <w:t xml:space="preserve">Ibidem : </w:t>
      </w:r>
      <w:r w:rsidRPr="007123C0">
        <w:rPr>
          <w:sz w:val="22"/>
          <w:szCs w:val="22"/>
        </w:rPr>
        <w:t>77)</w:t>
      </w:r>
      <w:r w:rsidR="00FB6E75" w:rsidRPr="007123C0">
        <w:rPr>
          <w:sz w:val="22"/>
          <w:szCs w:val="22"/>
        </w:rPr>
        <w:t>.</w:t>
      </w:r>
    </w:p>
    <w:p w14:paraId="1DB12B6A" w14:textId="275049B3" w:rsidR="0040457A" w:rsidRPr="007123C0" w:rsidRDefault="0040457A" w:rsidP="007123C0">
      <w:pPr>
        <w:ind w:left="284"/>
        <w:jc w:val="both"/>
        <w:rPr>
          <w:sz w:val="22"/>
          <w:szCs w:val="22"/>
        </w:rPr>
      </w:pPr>
      <w:r w:rsidRPr="007123C0">
        <w:rPr>
          <w:sz w:val="22"/>
          <w:szCs w:val="22"/>
        </w:rPr>
        <w:t>Le temps du discours n’est ni ramené aux divisions du te</w:t>
      </w:r>
      <w:r w:rsidR="00032D80" w:rsidRPr="007123C0">
        <w:rPr>
          <w:sz w:val="22"/>
          <w:szCs w:val="22"/>
        </w:rPr>
        <w:t>mps chronique ni enfermé dans u</w:t>
      </w:r>
      <w:r w:rsidRPr="007123C0">
        <w:rPr>
          <w:sz w:val="22"/>
          <w:szCs w:val="22"/>
        </w:rPr>
        <w:t>n</w:t>
      </w:r>
      <w:r w:rsidR="00032D80" w:rsidRPr="007123C0">
        <w:rPr>
          <w:sz w:val="22"/>
          <w:szCs w:val="22"/>
        </w:rPr>
        <w:t>e</w:t>
      </w:r>
      <w:r w:rsidRPr="007123C0">
        <w:rPr>
          <w:sz w:val="22"/>
          <w:szCs w:val="22"/>
        </w:rPr>
        <w:t xml:space="preserve"> subjectivité solipsiste. Il fonctionne comme un facteur d’intersubjectivité, ce qui d’</w:t>
      </w:r>
      <w:r w:rsidR="00032D80" w:rsidRPr="007123C0">
        <w:rPr>
          <w:sz w:val="22"/>
          <w:szCs w:val="22"/>
        </w:rPr>
        <w:t>uni</w:t>
      </w:r>
      <w:r w:rsidRPr="007123C0">
        <w:rPr>
          <w:sz w:val="22"/>
          <w:szCs w:val="22"/>
        </w:rPr>
        <w:t xml:space="preserve">personnel </w:t>
      </w:r>
      <w:r w:rsidR="00032D80" w:rsidRPr="007123C0">
        <w:rPr>
          <w:sz w:val="22"/>
          <w:szCs w:val="22"/>
        </w:rPr>
        <w:t xml:space="preserve">qu’il devrait être </w:t>
      </w:r>
      <w:r w:rsidRPr="007123C0">
        <w:rPr>
          <w:sz w:val="22"/>
          <w:szCs w:val="22"/>
        </w:rPr>
        <w:t xml:space="preserve">le rend </w:t>
      </w:r>
      <w:proofErr w:type="spellStart"/>
      <w:r w:rsidRPr="007123C0">
        <w:rPr>
          <w:sz w:val="22"/>
          <w:szCs w:val="22"/>
        </w:rPr>
        <w:t>omnipersonnel</w:t>
      </w:r>
      <w:proofErr w:type="spellEnd"/>
      <w:r w:rsidRPr="007123C0">
        <w:rPr>
          <w:sz w:val="22"/>
          <w:szCs w:val="22"/>
        </w:rPr>
        <w:t xml:space="preserve">. </w:t>
      </w:r>
      <w:r w:rsidR="00032D80" w:rsidRPr="007123C0">
        <w:rPr>
          <w:sz w:val="22"/>
          <w:szCs w:val="22"/>
        </w:rPr>
        <w:t>La condi</w:t>
      </w:r>
      <w:r w:rsidRPr="007123C0">
        <w:rPr>
          <w:sz w:val="22"/>
          <w:szCs w:val="22"/>
        </w:rPr>
        <w:t>tion d’</w:t>
      </w:r>
      <w:r w:rsidR="00032D80" w:rsidRPr="007123C0">
        <w:rPr>
          <w:sz w:val="22"/>
          <w:szCs w:val="22"/>
        </w:rPr>
        <w:t>intersubjecti</w:t>
      </w:r>
      <w:r w:rsidRPr="007123C0">
        <w:rPr>
          <w:sz w:val="22"/>
          <w:szCs w:val="22"/>
        </w:rPr>
        <w:t>v</w:t>
      </w:r>
      <w:r w:rsidR="00032D80" w:rsidRPr="007123C0">
        <w:rPr>
          <w:sz w:val="22"/>
          <w:szCs w:val="22"/>
        </w:rPr>
        <w:t>i</w:t>
      </w:r>
      <w:r w:rsidRPr="007123C0">
        <w:rPr>
          <w:sz w:val="22"/>
          <w:szCs w:val="22"/>
        </w:rPr>
        <w:t>té permet seul</w:t>
      </w:r>
      <w:r w:rsidR="00FB6E75" w:rsidRPr="007123C0">
        <w:rPr>
          <w:sz w:val="22"/>
          <w:szCs w:val="22"/>
        </w:rPr>
        <w:t>e</w:t>
      </w:r>
      <w:r w:rsidRPr="007123C0">
        <w:rPr>
          <w:sz w:val="22"/>
          <w:szCs w:val="22"/>
        </w:rPr>
        <w:t xml:space="preserve"> la communication linguistique</w:t>
      </w:r>
      <w:r w:rsidR="00032D80" w:rsidRPr="007123C0">
        <w:rPr>
          <w:sz w:val="22"/>
          <w:szCs w:val="22"/>
        </w:rPr>
        <w:t> (</w:t>
      </w:r>
      <w:r w:rsidR="00EC49F5">
        <w:rPr>
          <w:sz w:val="22"/>
          <w:szCs w:val="22"/>
        </w:rPr>
        <w:t>Ibidem :</w:t>
      </w:r>
      <w:r w:rsidR="00032D80" w:rsidRPr="007123C0">
        <w:rPr>
          <w:sz w:val="22"/>
          <w:szCs w:val="22"/>
        </w:rPr>
        <w:t xml:space="preserve"> 77).</w:t>
      </w:r>
    </w:p>
    <w:p w14:paraId="30DB37FB" w14:textId="77777777" w:rsidR="00FB6E75" w:rsidRDefault="00FB6E75" w:rsidP="00FB6E75">
      <w:pPr>
        <w:jc w:val="both"/>
      </w:pPr>
    </w:p>
    <w:p w14:paraId="64FF740B" w14:textId="5D4D74A1" w:rsidR="006E4DC6" w:rsidRDefault="00D25FA7" w:rsidP="00FB6E75">
      <w:pPr>
        <w:jc w:val="both"/>
      </w:pPr>
      <w:r>
        <w:t>C</w:t>
      </w:r>
      <w:r w:rsidR="00A87225">
        <w:t xml:space="preserve">hez Benveniste, </w:t>
      </w:r>
      <w:r w:rsidR="00032D80">
        <w:t>la temporalité est créée en discours sur un mode intersubjectif</w:t>
      </w:r>
      <w:r w:rsidR="00FB6E75">
        <w:t>, ce qui pose prob</w:t>
      </w:r>
      <w:r w:rsidR="006E4DC6">
        <w:t xml:space="preserve">lème pour </w:t>
      </w:r>
      <w:r w:rsidR="00546680">
        <w:t>Guimarães</w:t>
      </w:r>
      <w:r w:rsidR="00CF0E09">
        <w:t>. L</w:t>
      </w:r>
      <w:r w:rsidR="006E4DC6">
        <w:t xml:space="preserve">e locuteur </w:t>
      </w:r>
      <w:r w:rsidR="00F233FD">
        <w:t xml:space="preserve">de Benveniste </w:t>
      </w:r>
      <w:r w:rsidR="006E4DC6">
        <w:t xml:space="preserve">possède une individualité </w:t>
      </w:r>
      <w:r w:rsidR="00032D80">
        <w:t xml:space="preserve">intersubjective </w:t>
      </w:r>
      <w:r w:rsidR="006E4DC6">
        <w:t>non déterministe, une liberté, que n’a pas le sujet d</w:t>
      </w:r>
      <w:r w:rsidR="000E4560">
        <w:t xml:space="preserve">e </w:t>
      </w:r>
      <w:r w:rsidR="00546680">
        <w:t>Guimarães</w:t>
      </w:r>
      <w:r w:rsidR="006E4DC6">
        <w:t xml:space="preserve">, </w:t>
      </w:r>
      <w:r w:rsidR="00F233FD">
        <w:t xml:space="preserve">constitué </w:t>
      </w:r>
      <w:r w:rsidR="00A87225">
        <w:t xml:space="preserve">et déterminé </w:t>
      </w:r>
      <w:r w:rsidR="00F233FD">
        <w:t xml:space="preserve">par la temporalité </w:t>
      </w:r>
      <w:r w:rsidR="00FE19DE">
        <w:t>de</w:t>
      </w:r>
      <w:r w:rsidR="00F233FD">
        <w:t xml:space="preserve"> l’événement</w:t>
      </w:r>
      <w:r w:rsidR="00FB6E75">
        <w:t>.</w:t>
      </w:r>
    </w:p>
    <w:p w14:paraId="3713BE5C" w14:textId="77777777" w:rsidR="00355B44" w:rsidRPr="00631422" w:rsidRDefault="00355B44" w:rsidP="006C2F1D">
      <w:pPr>
        <w:jc w:val="both"/>
      </w:pPr>
    </w:p>
    <w:p w14:paraId="0B7AACA3" w14:textId="77777777" w:rsidR="00016081" w:rsidRPr="00631422" w:rsidRDefault="00016081" w:rsidP="006C2F1D">
      <w:pPr>
        <w:pStyle w:val="texte"/>
        <w:spacing w:before="0" w:beforeAutospacing="0" w:after="0" w:afterAutospacing="0"/>
        <w:jc w:val="both"/>
        <w:rPr>
          <w:b/>
          <w:sz w:val="28"/>
          <w:szCs w:val="28"/>
        </w:rPr>
      </w:pPr>
      <w:r w:rsidRPr="00631422">
        <w:rPr>
          <w:b/>
          <w:sz w:val="28"/>
          <w:szCs w:val="28"/>
        </w:rPr>
        <w:t>Référence, dénomination, désignation</w:t>
      </w:r>
    </w:p>
    <w:p w14:paraId="7C3D9B30" w14:textId="77777777" w:rsidR="006C2F1D" w:rsidRDefault="006C2F1D" w:rsidP="006C2F1D">
      <w:pPr>
        <w:pStyle w:val="texte"/>
        <w:spacing w:before="0" w:beforeAutospacing="0" w:after="0" w:afterAutospacing="0"/>
        <w:jc w:val="both"/>
      </w:pPr>
    </w:p>
    <w:p w14:paraId="6277868F" w14:textId="0E53EF9B" w:rsidR="00A10DD6" w:rsidRDefault="005D47C8" w:rsidP="004F4573">
      <w:pPr>
        <w:pStyle w:val="texte"/>
        <w:spacing w:before="0" w:beforeAutospacing="0" w:after="0" w:afterAutospacing="0"/>
        <w:ind w:firstLine="567"/>
        <w:jc w:val="both"/>
      </w:pPr>
      <w:r>
        <w:lastRenderedPageBreak/>
        <w:t>On aura compris que la sémantique d</w:t>
      </w:r>
      <w:r w:rsidR="001B348F">
        <w:t xml:space="preserve">e </w:t>
      </w:r>
      <w:r w:rsidR="00546680">
        <w:t>Guimarães</w:t>
      </w:r>
      <w:r>
        <w:t xml:space="preserve"> n’est pas cognitiviste. Elle ne pose pas que la parole est la forme d’une pensée </w:t>
      </w:r>
      <w:r w:rsidR="007A2B00">
        <w:t xml:space="preserve">individuelle </w:t>
      </w:r>
      <w:r>
        <w:t>qui la précède, « décodée » et « interprétée » par l’interlocuteur</w:t>
      </w:r>
      <w:r w:rsidR="00F2574D">
        <w:t xml:space="preserve">. </w:t>
      </w:r>
      <w:r>
        <w:t xml:space="preserve">Pour </w:t>
      </w:r>
      <w:r w:rsidR="00546680">
        <w:t>Guimarães</w:t>
      </w:r>
      <w:r>
        <w:t xml:space="preserve">, la langue est un phénomène social </w:t>
      </w:r>
      <w:r w:rsidR="001B2B3D">
        <w:t xml:space="preserve">inscrit dans le temps, </w:t>
      </w:r>
      <w:r>
        <w:t>qui nait de significations existantes et qui en engendre d’autres. Comme l</w:t>
      </w:r>
      <w:r w:rsidR="001B2B3D">
        <w:t>a langue et le sens sont</w:t>
      </w:r>
      <w:r>
        <w:t xml:space="preserve"> </w:t>
      </w:r>
      <w:r w:rsidR="00185B58">
        <w:t>publics</w:t>
      </w:r>
      <w:r w:rsidR="00C43137">
        <w:t>, l’intercompréhension peut se faire</w:t>
      </w:r>
      <w:r>
        <w:t xml:space="preserve"> sans recours à </w:t>
      </w:r>
      <w:r w:rsidR="004D043C">
        <w:t xml:space="preserve">l’hypothèse </w:t>
      </w:r>
      <w:r>
        <w:t>d</w:t>
      </w:r>
      <w:r w:rsidR="004D043C">
        <w:t>’</w:t>
      </w:r>
      <w:r>
        <w:t xml:space="preserve">éléments sémantiques </w:t>
      </w:r>
      <w:r w:rsidR="001B2B3D">
        <w:t>p</w:t>
      </w:r>
      <w:r w:rsidR="007F7416">
        <w:t>rimaires situés à un niveau pré</w:t>
      </w:r>
      <w:r w:rsidR="004D043C">
        <w:t>-</w:t>
      </w:r>
      <w:r w:rsidR="001B2B3D">
        <w:t>linguistique</w:t>
      </w:r>
      <w:r w:rsidR="007F7416">
        <w:t xml:space="preserve"> (noèmes, universaux, primitives, …)</w:t>
      </w:r>
      <w:r>
        <w:t>, qu</w:t>
      </w:r>
      <w:r w:rsidR="001B348F">
        <w:t xml:space="preserve">e </w:t>
      </w:r>
      <w:r w:rsidR="00546680">
        <w:t>Guimarães</w:t>
      </w:r>
      <w:r w:rsidR="007F7416">
        <w:t xml:space="preserve"> ne mentionne pas du tout</w:t>
      </w:r>
      <w:r w:rsidR="00FE19DE">
        <w:t xml:space="preserve">. </w:t>
      </w:r>
      <w:r w:rsidR="007F7416">
        <w:t>U</w:t>
      </w:r>
      <w:r w:rsidR="001B2B3D">
        <w:t>ne sémantique cognitiviste</w:t>
      </w:r>
      <w:r w:rsidR="004D043C">
        <w:t>, en revanche,</w:t>
      </w:r>
      <w:r w:rsidR="001B2B3D">
        <w:t xml:space="preserve"> </w:t>
      </w:r>
      <w:r w:rsidR="007F7416">
        <w:t xml:space="preserve">est </w:t>
      </w:r>
      <w:r w:rsidR="001B2B3D">
        <w:t xml:space="preserve">fondée sur </w:t>
      </w:r>
      <w:r w:rsidR="004D043C">
        <w:t>d</w:t>
      </w:r>
      <w:r w:rsidR="001B2B3D">
        <w:t xml:space="preserve">es processus cérébraux individuels </w:t>
      </w:r>
      <w:r w:rsidR="007F7416">
        <w:t>qui ont besoin d</w:t>
      </w:r>
      <w:r w:rsidR="004D043C">
        <w:t>’une</w:t>
      </w:r>
      <w:r w:rsidR="007F7416">
        <w:t xml:space="preserve"> « matière première » sémantique (des sèmes) et syntaxique (des règles) pour fonctionner. </w:t>
      </w:r>
    </w:p>
    <w:p w14:paraId="1E71FB2F" w14:textId="6521EDFC" w:rsidR="005D47C8" w:rsidRDefault="007F7416" w:rsidP="004F4573">
      <w:pPr>
        <w:pStyle w:val="texte"/>
        <w:spacing w:before="0" w:beforeAutospacing="0" w:after="0" w:afterAutospacing="0"/>
        <w:ind w:firstLine="567"/>
        <w:jc w:val="both"/>
      </w:pPr>
      <w:r>
        <w:t xml:space="preserve">L’alternative </w:t>
      </w:r>
      <w:r w:rsidR="00A10DD6">
        <w:t xml:space="preserve">au cognitivisme </w:t>
      </w:r>
      <w:r>
        <w:t>est une sémantique ancrée</w:t>
      </w:r>
      <w:r w:rsidR="001B2B3D">
        <w:t xml:space="preserve"> dans la société et dans le réel, ce qui est le cas chez </w:t>
      </w:r>
      <w:r w:rsidR="00546680">
        <w:t>Guimarães</w:t>
      </w:r>
      <w:r w:rsidR="001B2B3D">
        <w:t xml:space="preserve">. Mais pour </w:t>
      </w:r>
      <w:r w:rsidR="00D25FA7">
        <w:t>développer</w:t>
      </w:r>
      <w:r w:rsidR="00185B58">
        <w:t xml:space="preserve"> une</w:t>
      </w:r>
      <w:r w:rsidR="001B2B3D">
        <w:t xml:space="preserve"> telle sémantique, il faut disposer d’une métalangue adaptée. </w:t>
      </w:r>
      <w:r w:rsidR="00546680">
        <w:t>Guimarães</w:t>
      </w:r>
      <w:r w:rsidR="001B2B3D">
        <w:t xml:space="preserve"> entreprend de définir, voire de redéfinir, les notions de base communes à toutes les sémantiques référentielles, à savoir celles de </w:t>
      </w:r>
      <w:r w:rsidR="001B2B3D" w:rsidRPr="000A273B">
        <w:t xml:space="preserve">référence, </w:t>
      </w:r>
      <w:r w:rsidR="00D25FA7">
        <w:t xml:space="preserve">de nomination, </w:t>
      </w:r>
      <w:r w:rsidR="000A273B" w:rsidRPr="000A273B">
        <w:t xml:space="preserve">de </w:t>
      </w:r>
      <w:r w:rsidR="001B2B3D" w:rsidRPr="000A273B">
        <w:t xml:space="preserve">dénomination et </w:t>
      </w:r>
      <w:r w:rsidR="000A273B" w:rsidRPr="000A273B">
        <w:t xml:space="preserve">de </w:t>
      </w:r>
      <w:r w:rsidR="001B2B3D" w:rsidRPr="000A273B">
        <w:t>désignation.</w:t>
      </w:r>
      <w:r w:rsidR="001B2B3D">
        <w:t xml:space="preserve"> Je </w:t>
      </w:r>
      <w:r>
        <w:t xml:space="preserve">vais les examiner et les comparer </w:t>
      </w:r>
      <w:r w:rsidR="001B2B3D">
        <w:t xml:space="preserve">à la conception </w:t>
      </w:r>
      <w:proofErr w:type="spellStart"/>
      <w:r w:rsidR="001B2B3D">
        <w:t>kleibérienne</w:t>
      </w:r>
      <w:proofErr w:type="spellEnd"/>
      <w:r w:rsidR="001B2B3D">
        <w:t xml:space="preserve"> de ces notions, ce qui me permettra de caractériser la sémantique de l’événement en tant que membre de la grande famille des sémantiques référentielles et dénominatives.  </w:t>
      </w:r>
      <w:r w:rsidR="007A2B00">
        <w:t>Voici pour commencer quelques définitions extraites du texte d’</w:t>
      </w:r>
      <w:r w:rsidR="00546680">
        <w:t>Guimarães</w:t>
      </w:r>
      <w:r w:rsidR="00EB76D8">
        <w:rPr>
          <w:rStyle w:val="Appelnotedebasdep"/>
        </w:rPr>
        <w:footnoteReference w:id="1"/>
      </w:r>
      <w:r w:rsidR="00EC49F5">
        <w:t> :</w:t>
      </w:r>
      <w:r w:rsidR="007A2B00">
        <w:t xml:space="preserve"> </w:t>
      </w:r>
    </w:p>
    <w:p w14:paraId="15BE0EBF" w14:textId="77777777" w:rsidR="006C2F1D" w:rsidRDefault="006C2F1D" w:rsidP="006C2F1D">
      <w:pPr>
        <w:pStyle w:val="texte"/>
        <w:spacing w:before="0" w:beforeAutospacing="0" w:after="0" w:afterAutospacing="0"/>
        <w:jc w:val="both"/>
      </w:pPr>
    </w:p>
    <w:p w14:paraId="3748729B" w14:textId="77777777" w:rsidR="00B333F3" w:rsidRPr="007123C0" w:rsidRDefault="00B333F3" w:rsidP="007123C0">
      <w:pPr>
        <w:pStyle w:val="texte"/>
        <w:spacing w:before="0" w:beforeAutospacing="0" w:after="0" w:afterAutospacing="0"/>
        <w:ind w:left="284"/>
        <w:jc w:val="both"/>
        <w:rPr>
          <w:sz w:val="22"/>
          <w:szCs w:val="22"/>
        </w:rPr>
      </w:pPr>
      <w:r w:rsidRPr="007123C0">
        <w:rPr>
          <w:sz w:val="22"/>
          <w:szCs w:val="22"/>
        </w:rPr>
        <w:t>La référence est une procédure linguistique par laquelle quelque chose se particularise dans et par l’énonciation. Par exemple, si quelqu’un dit : « Le joueur est assis à la deuxième table à gauche », le syntagme nominal « le joueur » particularise et indique une personne.</w:t>
      </w:r>
    </w:p>
    <w:p w14:paraId="71616724" w14:textId="77777777" w:rsidR="006C2F1D" w:rsidRPr="007123C0" w:rsidRDefault="006C2F1D" w:rsidP="007123C0">
      <w:pPr>
        <w:pStyle w:val="texte"/>
        <w:spacing w:before="0" w:beforeAutospacing="0" w:after="0" w:afterAutospacing="0"/>
        <w:ind w:left="284"/>
        <w:jc w:val="both"/>
        <w:rPr>
          <w:sz w:val="22"/>
          <w:szCs w:val="22"/>
        </w:rPr>
      </w:pPr>
    </w:p>
    <w:p w14:paraId="40BED12E" w14:textId="77777777" w:rsidR="00B333F3" w:rsidRPr="007123C0" w:rsidRDefault="00B333F3" w:rsidP="007123C0">
      <w:pPr>
        <w:pStyle w:val="texte"/>
        <w:spacing w:before="0" w:beforeAutospacing="0" w:after="0" w:afterAutospacing="0"/>
        <w:ind w:left="284"/>
        <w:jc w:val="both"/>
        <w:rPr>
          <w:sz w:val="22"/>
          <w:szCs w:val="22"/>
        </w:rPr>
      </w:pPr>
      <w:r w:rsidRPr="007123C0">
        <w:rPr>
          <w:sz w:val="22"/>
          <w:szCs w:val="22"/>
        </w:rPr>
        <w:t>La dénomination est le fonctionnement sémantique par lequel quelque chose reçoit un nom. Par exemple, si, dans une situation donnée et adéquate, le propriétaire d’un bateau y écrit le nom « Brise », il lui donne ce nom, il nomme le bateau. Observons que l’acte d’écrire le nom comme façon de baptiser le bateau est différent du nom écrit sur le bateau à partir de ce moment-là jusqu’à ce que, pour une raison quelconque, il en soit retiré. Donner un nom à quelque chose, c’est lui donner une existence historique. Quelque chose qui flotte sur l’eau n’est qu’un objet. Un bateau est déjà autre chose. Il est déjà le monde affecté par l’événement de langage, distinct de la masse hétérogène des objets qui flottent sur l’eau. Nommer, c’est donc distinguer.</w:t>
      </w:r>
    </w:p>
    <w:p w14:paraId="736BAA59" w14:textId="77777777" w:rsidR="006C2F1D" w:rsidRPr="007123C0" w:rsidRDefault="006C2F1D" w:rsidP="007123C0">
      <w:pPr>
        <w:pStyle w:val="texte"/>
        <w:spacing w:before="0" w:beforeAutospacing="0" w:after="0" w:afterAutospacing="0"/>
        <w:ind w:left="284"/>
        <w:jc w:val="both"/>
        <w:rPr>
          <w:sz w:val="22"/>
          <w:szCs w:val="22"/>
        </w:rPr>
      </w:pPr>
    </w:p>
    <w:p w14:paraId="047313F8" w14:textId="77777777" w:rsidR="00B333F3" w:rsidRPr="007123C0" w:rsidRDefault="00B333F3" w:rsidP="007123C0">
      <w:pPr>
        <w:pStyle w:val="texte"/>
        <w:spacing w:before="0" w:beforeAutospacing="0" w:after="0" w:afterAutospacing="0"/>
        <w:ind w:left="284"/>
        <w:jc w:val="both"/>
        <w:rPr>
          <w:sz w:val="22"/>
          <w:szCs w:val="22"/>
        </w:rPr>
      </w:pPr>
      <w:bookmarkStart w:id="3" w:name="_Hlk66802304"/>
      <w:r w:rsidRPr="007123C0">
        <w:rPr>
          <w:sz w:val="22"/>
          <w:szCs w:val="22"/>
        </w:rPr>
        <w:t xml:space="preserve">La désignation d’un nom est sa signification en tant que relation de ce nom à d’autres noms et au monde découpé historiquement par le nom. </w:t>
      </w:r>
      <w:bookmarkEnd w:id="3"/>
      <w:r w:rsidRPr="007123C0">
        <w:rPr>
          <w:sz w:val="22"/>
          <w:szCs w:val="22"/>
        </w:rPr>
        <w:t xml:space="preserve">La désignation n’est pas quelque chose d’abstrait, mais de linguistique et d’historique. C’est-à-dire que c’est une relation linguistique (symbolique) renvoyée au réel, exposée au réel. Voilà pourquoi </w:t>
      </w:r>
      <w:bookmarkStart w:id="4" w:name="_Hlk66804088"/>
      <w:r w:rsidRPr="007123C0">
        <w:rPr>
          <w:sz w:val="22"/>
          <w:szCs w:val="22"/>
        </w:rPr>
        <w:t>un nom n’est pas un mot qui classe des objets en les incluant dans certains ensembles</w:t>
      </w:r>
      <w:bookmarkEnd w:id="4"/>
      <w:r w:rsidRPr="007123C0">
        <w:rPr>
          <w:sz w:val="22"/>
          <w:szCs w:val="22"/>
        </w:rPr>
        <w:t xml:space="preserve">. Pour moi, comme le pense Rancière (1992), </w:t>
      </w:r>
      <w:bookmarkStart w:id="5" w:name="_Hlk66803759"/>
      <w:r w:rsidRPr="007123C0">
        <w:rPr>
          <w:sz w:val="22"/>
          <w:szCs w:val="22"/>
        </w:rPr>
        <w:t xml:space="preserve">les noms identifient des objets. Par exemple, « joueur », dans l’énoncé ci-dessus, ne signifie pas simplement le rapport de ce mot à la personne à qui il se réfère, ni l’ensemble des personnes qui sont des joueurs. Ce que « joueur » désigne est constitué par les énonciations dont il a fait et fait encore partie et qui prédiquent ce qu’est un joueur. </w:t>
      </w:r>
      <w:bookmarkEnd w:id="5"/>
      <w:r w:rsidRPr="007123C0">
        <w:rPr>
          <w:sz w:val="22"/>
          <w:szCs w:val="22"/>
        </w:rPr>
        <w:t>Dans ce sens, le fait que « joueur » se réfère spécifiquement à une certaine personne fait partie de ce que ce mot désigne. Mais ce que ce mot désigne met également en jeu le fait qu’il puisse se rencontrer dans des énoncés comme : « Le joueur, du fait de sa réceptivité, obtient une très grande projection sociale »</w:t>
      </w:r>
      <w:r w:rsidR="00FE19DE" w:rsidRPr="007123C0">
        <w:rPr>
          <w:sz w:val="22"/>
          <w:szCs w:val="22"/>
        </w:rPr>
        <w:t>.</w:t>
      </w:r>
    </w:p>
    <w:p w14:paraId="4DD1B97B" w14:textId="77777777" w:rsidR="00FE19DE" w:rsidRPr="007123C0" w:rsidRDefault="00FE19DE" w:rsidP="007123C0">
      <w:pPr>
        <w:pStyle w:val="texte"/>
        <w:spacing w:before="0" w:beforeAutospacing="0" w:after="0" w:afterAutospacing="0"/>
        <w:ind w:left="284"/>
        <w:jc w:val="both"/>
        <w:rPr>
          <w:sz w:val="22"/>
          <w:szCs w:val="22"/>
        </w:rPr>
      </w:pPr>
    </w:p>
    <w:p w14:paraId="01C579DB" w14:textId="77777777" w:rsidR="00B333F3" w:rsidRPr="007123C0" w:rsidRDefault="00B333F3" w:rsidP="007123C0">
      <w:pPr>
        <w:pStyle w:val="texte"/>
        <w:spacing w:before="0" w:beforeAutospacing="0" w:after="0" w:afterAutospacing="0"/>
        <w:ind w:left="284"/>
        <w:jc w:val="both"/>
        <w:rPr>
          <w:sz w:val="22"/>
          <w:szCs w:val="22"/>
        </w:rPr>
      </w:pPr>
      <w:bookmarkStart w:id="6" w:name="_Hlk66802912"/>
      <w:r w:rsidRPr="007123C0">
        <w:rPr>
          <w:sz w:val="22"/>
          <w:szCs w:val="22"/>
        </w:rPr>
        <w:t>Les désignations, en général, ont un rôle très important qui ne se réduit pas à indiquer l’existence de quelque chose quelque part, ni même à servir d’étiquette à quelque chose. Un nom, quand il désigne, fonctionne comme un élément des relations historico-sociales qu’il aide à construire et dont il commence alors à faire partie.</w:t>
      </w:r>
    </w:p>
    <w:bookmarkEnd w:id="6"/>
    <w:p w14:paraId="0FE075B1" w14:textId="77777777" w:rsidR="006C2F1D" w:rsidRPr="00A10DD6" w:rsidRDefault="006C2F1D" w:rsidP="006C2F1D">
      <w:pPr>
        <w:pStyle w:val="texte"/>
        <w:spacing w:before="0" w:beforeAutospacing="0" w:after="0" w:afterAutospacing="0"/>
        <w:jc w:val="both"/>
      </w:pPr>
    </w:p>
    <w:p w14:paraId="310FC472" w14:textId="77777777" w:rsidR="00326B9E" w:rsidRPr="00326B9E" w:rsidRDefault="00326B9E" w:rsidP="006C2F1D">
      <w:pPr>
        <w:pStyle w:val="texte"/>
        <w:spacing w:before="0" w:beforeAutospacing="0" w:after="0" w:afterAutospacing="0"/>
        <w:jc w:val="both"/>
        <w:rPr>
          <w:b/>
        </w:rPr>
      </w:pPr>
      <w:r w:rsidRPr="00326B9E">
        <w:rPr>
          <w:b/>
        </w:rPr>
        <w:t>Commentaires </w:t>
      </w:r>
      <w:r w:rsidR="007A2B00">
        <w:rPr>
          <w:b/>
        </w:rPr>
        <w:t>sur la référence</w:t>
      </w:r>
    </w:p>
    <w:p w14:paraId="44F01C49" w14:textId="77777777" w:rsidR="007A2B00" w:rsidRDefault="007A2B00" w:rsidP="007A2B00">
      <w:pPr>
        <w:pStyle w:val="texte"/>
        <w:spacing w:before="0" w:beforeAutospacing="0" w:after="0" w:afterAutospacing="0"/>
        <w:jc w:val="both"/>
      </w:pPr>
    </w:p>
    <w:p w14:paraId="4A79F250" w14:textId="175B4C20" w:rsidR="00F85EE1" w:rsidRPr="004D043C" w:rsidRDefault="004C6714" w:rsidP="004D043C">
      <w:pPr>
        <w:ind w:firstLine="567"/>
        <w:jc w:val="both"/>
      </w:pPr>
      <w:r>
        <w:lastRenderedPageBreak/>
        <w:t xml:space="preserve">Chez </w:t>
      </w:r>
      <w:r w:rsidR="00546680">
        <w:t>Guimarães</w:t>
      </w:r>
      <w:r w:rsidR="00F85EE1">
        <w:t>, l</w:t>
      </w:r>
      <w:r w:rsidR="00326B9E">
        <w:t xml:space="preserve">a </w:t>
      </w:r>
      <w:r w:rsidR="00326B9E" w:rsidRPr="004D043C">
        <w:t>référence</w:t>
      </w:r>
      <w:r w:rsidR="00326B9E">
        <w:t xml:space="preserve"> particularise </w:t>
      </w:r>
      <w:r w:rsidR="004E4321">
        <w:t>« </w:t>
      </w:r>
      <w:r w:rsidR="00326B9E">
        <w:t>quelque chose</w:t>
      </w:r>
      <w:r w:rsidR="004E4321">
        <w:t> »</w:t>
      </w:r>
      <w:r w:rsidR="00326B9E">
        <w:t xml:space="preserve"> dans l’énonciation</w:t>
      </w:r>
      <w:r w:rsidR="00F85EE1">
        <w:t xml:space="preserve">, par exemple </w:t>
      </w:r>
      <w:r w:rsidR="00A10DD6">
        <w:t>« </w:t>
      </w:r>
      <w:r w:rsidR="00326B9E">
        <w:t>le joueur »</w:t>
      </w:r>
      <w:r w:rsidR="00F85EE1">
        <w:t xml:space="preserve"> particularise et indique une personne. Cette conception de la référence est proche de celle de Georges Kleiber, </w:t>
      </w:r>
      <w:r w:rsidR="00185B58">
        <w:t xml:space="preserve">qui la considère comme un </w:t>
      </w:r>
      <w:r w:rsidR="00F85EE1">
        <w:t>lien nécessaire entre la langue et notre expérience commune. Les philosophes analytiques</w:t>
      </w:r>
      <w:r w:rsidR="00185B58">
        <w:t xml:space="preserve"> comme Bertrand Russell</w:t>
      </w:r>
      <w:r w:rsidR="00F85EE1">
        <w:t xml:space="preserve"> se sont intéressés </w:t>
      </w:r>
      <w:r w:rsidR="00F85EE1" w:rsidRPr="004D043C">
        <w:t>au versant « logique »</w:t>
      </w:r>
      <w:r w:rsidR="00F85EE1" w:rsidRPr="001C192B">
        <w:rPr>
          <w:b/>
        </w:rPr>
        <w:t xml:space="preserve"> </w:t>
      </w:r>
      <w:r w:rsidR="00F85EE1" w:rsidRPr="00011426">
        <w:t>de</w:t>
      </w:r>
      <w:r w:rsidR="00F85EE1">
        <w:t xml:space="preserve"> cette relation</w:t>
      </w:r>
      <w:r w:rsidR="00185B58">
        <w:t xml:space="preserve"> </w:t>
      </w:r>
      <w:r w:rsidR="00F85EE1">
        <w:t>au sein d</w:t>
      </w:r>
      <w:r w:rsidR="00185B58">
        <w:t>e la</w:t>
      </w:r>
      <w:r w:rsidR="00F85EE1">
        <w:t xml:space="preserve"> proposition. Ce qui compte alors, c’est sa valeur de vérité, laquelle est déterminée par la </w:t>
      </w:r>
      <w:r w:rsidR="00F85EE1" w:rsidRPr="004D043C">
        <w:t xml:space="preserve">référence de chacun des noms </w:t>
      </w:r>
      <w:r w:rsidR="00185B58" w:rsidRPr="004D043C">
        <w:t xml:space="preserve">présents dans </w:t>
      </w:r>
      <w:r w:rsidR="00F85EE1" w:rsidRPr="004D043C">
        <w:t xml:space="preserve">la proposition et l’adéquation des relations </w:t>
      </w:r>
      <w:r w:rsidR="00185B58" w:rsidRPr="004D043C">
        <w:t xml:space="preserve">avec </w:t>
      </w:r>
      <w:r w:rsidR="00F85EE1" w:rsidRPr="004D043C">
        <w:t>la situation extralinguistique</w:t>
      </w:r>
      <w:r w:rsidR="00F85EE1">
        <w:t>. C’est ainsi que « </w:t>
      </w:r>
      <w:r w:rsidR="004D043C">
        <w:t>l</w:t>
      </w:r>
      <w:r w:rsidR="00F85EE1">
        <w:t xml:space="preserve">e chat est sur le paillasson » est vrai s’il y a un chat, un paillasson et que l’un est sur l’autre. Mais cette explication ne fonctionne pas dès que la référence de l’un ou l’autre élément est douteuse. </w:t>
      </w:r>
      <w:r w:rsidR="00F85EE1" w:rsidRPr="00A10DD6">
        <w:rPr>
          <w:i/>
        </w:rPr>
        <w:t>Quid</w:t>
      </w:r>
      <w:r w:rsidR="00F85EE1">
        <w:t xml:space="preserve"> de « </w:t>
      </w:r>
      <w:r w:rsidR="004D043C">
        <w:t>l</w:t>
      </w:r>
      <w:r w:rsidR="00F85EE1">
        <w:t>’actuel Roi de France est chauve » (un exemple emblématique de</w:t>
      </w:r>
      <w:r w:rsidR="00185B58">
        <w:t xml:space="preserve"> </w:t>
      </w:r>
      <w:r w:rsidR="00F85EE1">
        <w:t>Russell</w:t>
      </w:r>
      <w:r w:rsidR="00EC49F5">
        <w:t>, 1919</w:t>
      </w:r>
      <w:r w:rsidR="00F85EE1">
        <w:t>) ou « le Père Noël apporte des joue</w:t>
      </w:r>
      <w:r w:rsidR="00186F55">
        <w:t>t</w:t>
      </w:r>
      <w:r w:rsidR="00F85EE1">
        <w:t>s aux enfants sages » ? Comment se fait-il qu’on puisse parler de choses non-existantes ? De nombreuses théories ont tenté de</w:t>
      </w:r>
      <w:r w:rsidR="00D24EB8">
        <w:t xml:space="preserve"> l’expliquer</w:t>
      </w:r>
      <w:r w:rsidR="00F85EE1">
        <w:t xml:space="preserve"> </w:t>
      </w:r>
      <w:r w:rsidR="00185B58">
        <w:t xml:space="preserve">dans le cadre analytique </w:t>
      </w:r>
      <w:r w:rsidR="00F85EE1">
        <w:t>(</w:t>
      </w:r>
      <w:r w:rsidR="00D24EB8">
        <w:t xml:space="preserve">les </w:t>
      </w:r>
      <w:r w:rsidR="00F85EE1">
        <w:t xml:space="preserve">mondes possibles, </w:t>
      </w:r>
      <w:r w:rsidR="00D24EB8">
        <w:t xml:space="preserve">distinction entre </w:t>
      </w:r>
      <w:r w:rsidR="00F85EE1">
        <w:t>sens et dénotation</w:t>
      </w:r>
      <w:r w:rsidR="00D24EB8">
        <w:t>, etc.</w:t>
      </w:r>
      <w:r w:rsidR="00F85EE1">
        <w:t>)</w:t>
      </w:r>
      <w:r w:rsidR="00D24EB8">
        <w:t>, mais nous n’avons pas la place de les examiner ici. L’essentiel d</w:t>
      </w:r>
      <w:r w:rsidR="00185B58">
        <w:t>e ce</w:t>
      </w:r>
      <w:r w:rsidR="00D24EB8">
        <w:t xml:space="preserve"> problème provient du fait que le versant « logique » de</w:t>
      </w:r>
      <w:r w:rsidR="00185B58">
        <w:t xml:space="preserve"> la</w:t>
      </w:r>
      <w:r w:rsidR="00D24EB8">
        <w:t xml:space="preserve"> proposition devrait être distingué nettement de son versant linguistique. C’est ce que </w:t>
      </w:r>
      <w:r w:rsidR="00F85EE1">
        <w:t xml:space="preserve">Georges Kleiber a </w:t>
      </w:r>
      <w:r w:rsidR="00D24EB8">
        <w:t>fait,</w:t>
      </w:r>
      <w:r w:rsidR="00F85EE1">
        <w:t xml:space="preserve"> notamment grâce </w:t>
      </w:r>
      <w:r w:rsidR="00185B58">
        <w:t>aux</w:t>
      </w:r>
      <w:r w:rsidR="00F85EE1">
        <w:t xml:space="preserve"> notion</w:t>
      </w:r>
      <w:r w:rsidR="00D24EB8">
        <w:t>s</w:t>
      </w:r>
      <w:r w:rsidR="00F85EE1">
        <w:t xml:space="preserve"> de </w:t>
      </w:r>
      <w:r w:rsidR="00F85EE1" w:rsidRPr="004D043C">
        <w:t>dénomination référentielle et de désignation</w:t>
      </w:r>
      <w:r w:rsidR="007511A8" w:rsidRPr="004D043C">
        <w:t xml:space="preserve"> qu’il a développée</w:t>
      </w:r>
      <w:r w:rsidR="00186F55" w:rsidRPr="004D043C">
        <w:t>s</w:t>
      </w:r>
      <w:r w:rsidR="00D24EB8" w:rsidRPr="004D043C">
        <w:t xml:space="preserve">, </w:t>
      </w:r>
      <w:r w:rsidR="00186F55" w:rsidRPr="004D043C">
        <w:t xml:space="preserve">et </w:t>
      </w:r>
      <w:r w:rsidR="00D24EB8" w:rsidRPr="004D043C">
        <w:t xml:space="preserve">dont on va voir qu’elles diffèrent </w:t>
      </w:r>
      <w:r w:rsidR="00A10DD6">
        <w:t xml:space="preserve">quelque peu </w:t>
      </w:r>
      <w:r w:rsidR="00D24EB8" w:rsidRPr="004D043C">
        <w:t>de celles d</w:t>
      </w:r>
      <w:r w:rsidR="001B348F">
        <w:t xml:space="preserve">e </w:t>
      </w:r>
      <w:r w:rsidR="00546680">
        <w:t>Guimarães</w:t>
      </w:r>
      <w:r w:rsidR="00D24EB8" w:rsidRPr="004D043C">
        <w:t xml:space="preserve">. </w:t>
      </w:r>
      <w:r w:rsidR="000B7E99">
        <w:t>À</w:t>
      </w:r>
      <w:r w:rsidR="00D24EB8" w:rsidRPr="004D043C">
        <w:t xml:space="preserve"> noter toutefois que pour </w:t>
      </w:r>
      <w:r w:rsidR="00546680">
        <w:t>Guimarães</w:t>
      </w:r>
      <w:r w:rsidR="00D24EB8" w:rsidRPr="004D043C">
        <w:t xml:space="preserve"> la référence est une « procédure », ce qui est en phase avec sa conception discursive, alors que pour </w:t>
      </w:r>
      <w:r w:rsidR="00546680">
        <w:t>Kleiber</w:t>
      </w:r>
      <w:r w:rsidR="00D24EB8" w:rsidRPr="004D043C">
        <w:t xml:space="preserve">, elle est un « lien », c’est-à-dire une caractéristique pérenne, en </w:t>
      </w:r>
      <w:r w:rsidR="00186F55" w:rsidRPr="004D043C">
        <w:t>accord</w:t>
      </w:r>
      <w:r w:rsidR="00D24EB8" w:rsidRPr="004D043C">
        <w:t xml:space="preserve"> avec sa </w:t>
      </w:r>
      <w:r w:rsidR="007511A8" w:rsidRPr="004D043C">
        <w:t>concept</w:t>
      </w:r>
      <w:r w:rsidR="00D24EB8" w:rsidRPr="004D043C">
        <w:t xml:space="preserve">ion dénominative </w:t>
      </w:r>
      <w:r w:rsidR="00741FE6" w:rsidRPr="004D043C">
        <w:t xml:space="preserve">et lexicalisée </w:t>
      </w:r>
      <w:r w:rsidR="00D24EB8" w:rsidRPr="004D043C">
        <w:t xml:space="preserve">de la </w:t>
      </w:r>
      <w:r w:rsidR="00741FE6" w:rsidRPr="004D043C">
        <w:t>référence</w:t>
      </w:r>
      <w:r w:rsidR="00D24EB8" w:rsidRPr="004D043C">
        <w:t xml:space="preserve">. </w:t>
      </w:r>
    </w:p>
    <w:p w14:paraId="4351C014" w14:textId="77777777" w:rsidR="00326B9E" w:rsidRPr="004D043C" w:rsidRDefault="00326B9E" w:rsidP="007A2B00">
      <w:pPr>
        <w:pStyle w:val="texte"/>
        <w:spacing w:before="0" w:beforeAutospacing="0" w:after="0" w:afterAutospacing="0"/>
        <w:ind w:firstLine="567"/>
        <w:jc w:val="both"/>
      </w:pPr>
    </w:p>
    <w:p w14:paraId="32429103" w14:textId="77777777" w:rsidR="00D24EB8" w:rsidRPr="00D24EB8" w:rsidRDefault="00D24EB8" w:rsidP="00D24EB8">
      <w:pPr>
        <w:pStyle w:val="texte"/>
        <w:spacing w:before="0" w:beforeAutospacing="0" w:after="0" w:afterAutospacing="0"/>
        <w:jc w:val="both"/>
        <w:rPr>
          <w:b/>
        </w:rPr>
      </w:pPr>
      <w:r w:rsidRPr="00D24EB8">
        <w:rPr>
          <w:b/>
        </w:rPr>
        <w:t>Commentaire</w:t>
      </w:r>
      <w:r>
        <w:rPr>
          <w:b/>
        </w:rPr>
        <w:t>s</w:t>
      </w:r>
      <w:r w:rsidRPr="00D24EB8">
        <w:rPr>
          <w:b/>
        </w:rPr>
        <w:t xml:space="preserve"> sur la dénomination</w:t>
      </w:r>
      <w:r w:rsidR="007511A8">
        <w:rPr>
          <w:b/>
        </w:rPr>
        <w:t xml:space="preserve"> et la désignation</w:t>
      </w:r>
    </w:p>
    <w:p w14:paraId="3EC20073" w14:textId="77777777" w:rsidR="004D043C" w:rsidRDefault="004D043C" w:rsidP="007511A8">
      <w:pPr>
        <w:pStyle w:val="texte"/>
        <w:spacing w:before="0" w:beforeAutospacing="0" w:after="0" w:afterAutospacing="0"/>
        <w:ind w:firstLine="567"/>
        <w:jc w:val="both"/>
      </w:pPr>
    </w:p>
    <w:p w14:paraId="339805E2" w14:textId="789DAEEC" w:rsidR="00326B9E" w:rsidRDefault="00B36B20" w:rsidP="007511A8">
      <w:pPr>
        <w:pStyle w:val="texte"/>
        <w:spacing w:before="0" w:beforeAutospacing="0" w:after="0" w:afterAutospacing="0"/>
        <w:ind w:firstLine="567"/>
        <w:jc w:val="both"/>
      </w:pPr>
      <w:r>
        <w:t xml:space="preserve">Pour </w:t>
      </w:r>
      <w:r w:rsidR="00546680">
        <w:t>Guimarães</w:t>
      </w:r>
      <w:r>
        <w:t>, l</w:t>
      </w:r>
      <w:r w:rsidR="00326B9E">
        <w:t xml:space="preserve">a </w:t>
      </w:r>
      <w:r w:rsidR="00326B9E" w:rsidRPr="004D043C">
        <w:t>dénomination</w:t>
      </w:r>
      <w:r w:rsidR="00326B9E">
        <w:t xml:space="preserve"> </w:t>
      </w:r>
      <w:r w:rsidR="007511A8">
        <w:t>est un « fonctionnement sémantique par lequel quelque chose reçoit un nom ». Et « </w:t>
      </w:r>
      <w:r w:rsidR="00326B9E">
        <w:t>donne</w:t>
      </w:r>
      <w:r w:rsidR="007511A8">
        <w:t xml:space="preserve">r un nom </w:t>
      </w:r>
      <w:r w:rsidR="00326B9E">
        <w:t>à quelque chose</w:t>
      </w:r>
      <w:r w:rsidR="007511A8">
        <w:t>, c’est lui donner</w:t>
      </w:r>
      <w:r w:rsidR="00326B9E">
        <w:t xml:space="preserve"> une existence historique</w:t>
      </w:r>
      <w:r w:rsidR="007511A8">
        <w:t> »</w:t>
      </w:r>
      <w:r w:rsidR="00326B9E">
        <w:t xml:space="preserve">. </w:t>
      </w:r>
      <w:r w:rsidR="007511A8">
        <w:t>Par ailleurs, n</w:t>
      </w:r>
      <w:r w:rsidR="004615D8">
        <w:t>ommer est un événement distinct du résultat</w:t>
      </w:r>
      <w:r w:rsidR="007511A8">
        <w:t> : par exemple baptiser un bateau, ce n’est pas la même chose que le nom écrit sur le bateau. La dénomination est don</w:t>
      </w:r>
      <w:r w:rsidR="00432EB8">
        <w:t>c</w:t>
      </w:r>
      <w:r w:rsidR="007511A8">
        <w:t xml:space="preserve"> </w:t>
      </w:r>
      <w:r w:rsidR="00432EB8">
        <w:t xml:space="preserve">un phénomène discursif. </w:t>
      </w:r>
      <w:r w:rsidR="00326B9E">
        <w:t>« Nommer, c’est distinguer »</w:t>
      </w:r>
      <w:r w:rsidR="004615D8">
        <w:t>, mais dans l’énonciation.</w:t>
      </w:r>
      <w:r w:rsidR="00432EB8">
        <w:t xml:space="preserve"> </w:t>
      </w:r>
    </w:p>
    <w:p w14:paraId="6A267B3A" w14:textId="1613EFB2" w:rsidR="004D043C" w:rsidRDefault="00432EB8" w:rsidP="00161639">
      <w:pPr>
        <w:pStyle w:val="texte"/>
        <w:spacing w:before="0" w:beforeAutospacing="0" w:after="0" w:afterAutospacing="0"/>
        <w:ind w:firstLine="567"/>
        <w:jc w:val="both"/>
      </w:pPr>
      <w:r>
        <w:t xml:space="preserve">Chez Kleiber, la dénomination est la matière première lexicale </w:t>
      </w:r>
      <w:r w:rsidR="00A53646">
        <w:t>liée</w:t>
      </w:r>
      <w:r>
        <w:t xml:space="preserve"> à un objet de notre expérience commune</w:t>
      </w:r>
      <w:r w:rsidR="00406C0A">
        <w:t xml:space="preserve"> qu’on peut ensuite utiliser discursivement. Elle n’est pas </w:t>
      </w:r>
      <w:r>
        <w:t xml:space="preserve">une procédure, un fonctionnement comme chez </w:t>
      </w:r>
      <w:r w:rsidR="00546680">
        <w:t>Guimarães</w:t>
      </w:r>
      <w:r>
        <w:t xml:space="preserve">. </w:t>
      </w:r>
      <w:r w:rsidR="004D043C">
        <w:t xml:space="preserve">En somme, la langue propose des dénominations qui sont utilisées en discours. </w:t>
      </w:r>
      <w:r w:rsidR="00A53646">
        <w:t xml:space="preserve">Cette distinction rejoint </w:t>
      </w:r>
      <w:r w:rsidR="004D043C">
        <w:t>l’opposition classique de Benveniste entre le sémiotique et le sémantique</w:t>
      </w:r>
      <w:r w:rsidR="00D42398">
        <w:t> :</w:t>
      </w:r>
      <w:r w:rsidR="00161639">
        <w:t xml:space="preserve"> </w:t>
      </w:r>
      <w:r w:rsidR="00D42398">
        <w:t>« Le sémiotique (le signe) doit être</w:t>
      </w:r>
      <w:r w:rsidR="00161639">
        <w:t xml:space="preserve"> </w:t>
      </w:r>
      <w:r w:rsidR="00D42398">
        <w:t>RECONNU</w:t>
      </w:r>
      <w:r w:rsidR="00161639">
        <w:t> ;</w:t>
      </w:r>
      <w:r w:rsidR="00D42398">
        <w:t xml:space="preserve"> le sémantique (le discours) doit être COMPRIS »</w:t>
      </w:r>
      <w:r w:rsidR="00161639" w:rsidRPr="00161639">
        <w:t xml:space="preserve"> </w:t>
      </w:r>
      <w:r w:rsidR="00161639">
        <w:t>(Benveniste 1974</w:t>
      </w:r>
      <w:r w:rsidR="008362C8">
        <w:t xml:space="preserve"> : </w:t>
      </w:r>
      <w:r w:rsidR="00161639">
        <w:t>64</w:t>
      </w:r>
      <w:r w:rsidR="008362C8">
        <w:t>-</w:t>
      </w:r>
      <w:r w:rsidR="00161639">
        <w:t>65)</w:t>
      </w:r>
      <w:r w:rsidR="004D043C">
        <w:t xml:space="preserve">. </w:t>
      </w:r>
    </w:p>
    <w:p w14:paraId="61524EE3" w14:textId="244B856B" w:rsidR="00432EB8" w:rsidRDefault="00432EB8" w:rsidP="007511A8">
      <w:pPr>
        <w:pStyle w:val="texte"/>
        <w:spacing w:before="0" w:beforeAutospacing="0" w:after="0" w:afterAutospacing="0"/>
        <w:ind w:firstLine="567"/>
        <w:jc w:val="both"/>
      </w:pPr>
      <w:r>
        <w:t xml:space="preserve">On peut </w:t>
      </w:r>
      <w:r w:rsidR="004D043C">
        <w:t xml:space="preserve">alors </w:t>
      </w:r>
      <w:r>
        <w:t xml:space="preserve">se demander d’où proviennent, chez </w:t>
      </w:r>
      <w:r w:rsidR="00546680">
        <w:t>Guimarães</w:t>
      </w:r>
      <w:r>
        <w:t xml:space="preserve">, les noms utilisés pour dénommer. C’est là qu’on s’aperçoit </w:t>
      </w:r>
      <w:r w:rsidR="00186F55">
        <w:t xml:space="preserve">que </w:t>
      </w:r>
      <w:r w:rsidR="00546680">
        <w:t>Kleiber</w:t>
      </w:r>
      <w:r>
        <w:t xml:space="preserve"> et </w:t>
      </w:r>
      <w:r w:rsidR="00546680">
        <w:t>Guimarães</w:t>
      </w:r>
      <w:r>
        <w:t xml:space="preserve"> ont une conception inverse de ces notions : ce que l’un appelle dénomination, l’autre l’appelle désignation, et inversement. </w:t>
      </w:r>
    </w:p>
    <w:p w14:paraId="2DA94D1B" w14:textId="2F044429" w:rsidR="000C210F" w:rsidRDefault="00432EB8" w:rsidP="007511A8">
      <w:pPr>
        <w:pStyle w:val="texte"/>
        <w:spacing w:before="0" w:beforeAutospacing="0" w:after="0" w:afterAutospacing="0"/>
        <w:ind w:firstLine="567"/>
        <w:jc w:val="both"/>
      </w:pPr>
      <w:r>
        <w:t xml:space="preserve">Pour </w:t>
      </w:r>
      <w:r w:rsidR="00546680">
        <w:t>Guimarães</w:t>
      </w:r>
      <w:r>
        <w:t xml:space="preserve">, </w:t>
      </w:r>
      <w:r w:rsidR="000C210F">
        <w:t>« </w:t>
      </w:r>
      <w:r>
        <w:t>l</w:t>
      </w:r>
      <w:r w:rsidRPr="00432EB8">
        <w:t xml:space="preserve">a </w:t>
      </w:r>
      <w:r w:rsidRPr="00A53646">
        <w:rPr>
          <w:i/>
        </w:rPr>
        <w:t>désignation</w:t>
      </w:r>
      <w:r w:rsidRPr="00432EB8">
        <w:t xml:space="preserve"> d’un nom est sa signification en tant que relation de ce nom à d’autres noms et au monde découpé historiquement par le nom</w:t>
      </w:r>
      <w:r w:rsidR="000C210F">
        <w:t> »</w:t>
      </w:r>
      <w:r w:rsidRPr="00432EB8">
        <w:t>.</w:t>
      </w:r>
      <w:r>
        <w:t xml:space="preserve"> Ce</w:t>
      </w:r>
      <w:r w:rsidR="000C210F">
        <w:t>tte définition</w:t>
      </w:r>
      <w:r>
        <w:t xml:space="preserve"> correspond peu ou prou à la définition que </w:t>
      </w:r>
      <w:r w:rsidR="00546680">
        <w:t>Kleiber</w:t>
      </w:r>
      <w:r>
        <w:t xml:space="preserve"> donne de la </w:t>
      </w:r>
      <w:r w:rsidRPr="00A53646">
        <w:rPr>
          <w:i/>
        </w:rPr>
        <w:t>dénomination</w:t>
      </w:r>
      <w:r>
        <w:t> </w:t>
      </w:r>
      <w:r w:rsidR="000C210F">
        <w:t>comme</w:t>
      </w:r>
      <w:r w:rsidR="00406C0A">
        <w:t xml:space="preserve"> « </w:t>
      </w:r>
      <w:r w:rsidR="000C210F" w:rsidRPr="000C210F">
        <w:t>relation entre une expression linguistique X et un ou des éléments ou choses de la réalité x</w:t>
      </w:r>
      <w:r w:rsidR="001B348F">
        <w:t> »</w:t>
      </w:r>
      <w:r w:rsidR="000C210F" w:rsidRPr="000C210F">
        <w:t xml:space="preserve">. C’est </w:t>
      </w:r>
      <w:r w:rsidR="002872DD">
        <w:t>« </w:t>
      </w:r>
      <w:r w:rsidR="000C210F" w:rsidRPr="000C210F">
        <w:t>incontournable », dit-il. « On appelle aussi dénomination l’expression linguistique X ».</w:t>
      </w:r>
      <w:r w:rsidR="000C210F">
        <w:t xml:space="preserve"> Pour </w:t>
      </w:r>
      <w:r w:rsidR="00546680">
        <w:t>Kleiber</w:t>
      </w:r>
      <w:r w:rsidR="000C210F">
        <w:t xml:space="preserve">, la dénomination, c’est-à-dire la désignation de </w:t>
      </w:r>
      <w:r w:rsidR="00546680">
        <w:t>Guimarães</w:t>
      </w:r>
      <w:r w:rsidR="000C210F">
        <w:t xml:space="preserve">, est double, à la fois une relation </w:t>
      </w:r>
      <w:r w:rsidR="000C210F" w:rsidRPr="00406C0A">
        <w:rPr>
          <w:i/>
        </w:rPr>
        <w:t>et</w:t>
      </w:r>
      <w:r w:rsidR="000C210F">
        <w:t xml:space="preserve"> une expression linguistique</w:t>
      </w:r>
      <w:r w:rsidR="002872DD">
        <w:t xml:space="preserve">. Elles </w:t>
      </w:r>
      <w:r w:rsidR="000C210F">
        <w:t>nécessite</w:t>
      </w:r>
      <w:r w:rsidR="002872DD">
        <w:t>nt</w:t>
      </w:r>
      <w:r w:rsidR="000C210F">
        <w:t xml:space="preserve"> un « </w:t>
      </w:r>
      <w:r w:rsidR="000C210F" w:rsidRPr="000C210F">
        <w:t>engagement ontologique</w:t>
      </w:r>
      <w:r w:rsidR="000C210F">
        <w:t xml:space="preserve"> », lequel </w:t>
      </w:r>
      <w:r w:rsidR="000C210F" w:rsidRPr="000C210F">
        <w:t>est lié à un acte de dénomination préalable qui s</w:t>
      </w:r>
      <w:r w:rsidR="002872DD">
        <w:t>’est</w:t>
      </w:r>
      <w:r w:rsidR="000C210F" w:rsidRPr="000C210F">
        <w:t xml:space="preserve"> fait dans le cadre d’un accord intersubjectif</w:t>
      </w:r>
      <w:r w:rsidR="002872DD">
        <w:t> ;</w:t>
      </w:r>
      <w:r w:rsidR="000C210F" w:rsidRPr="000C210F">
        <w:t xml:space="preserve"> il « a pour conséquence l’établissement d’une </w:t>
      </w:r>
      <w:r w:rsidR="00C7387E">
        <w:t xml:space="preserve">association référentielle entre [l’objet et le nom] </w:t>
      </w:r>
      <w:r w:rsidR="000C210F" w:rsidRPr="000C210F">
        <w:t>qui est durable</w:t>
      </w:r>
      <w:r w:rsidR="002872DD">
        <w:t> »</w:t>
      </w:r>
      <w:r w:rsidR="00406C0A">
        <w:t xml:space="preserve">. Il demande </w:t>
      </w:r>
      <w:r w:rsidR="000C210F" w:rsidRPr="000C210F">
        <w:t xml:space="preserve">un apprentissage qui « vise </w:t>
      </w:r>
      <w:r w:rsidR="000C210F" w:rsidRPr="000C210F">
        <w:lastRenderedPageBreak/>
        <w:t>[…] la fixation d’une règle référentielle stable qui permet l’utilisation ultérieure de la dénomination pour la chose dénommée » (Kleiber 2001).</w:t>
      </w:r>
      <w:r w:rsidR="000C210F">
        <w:t xml:space="preserve"> </w:t>
      </w:r>
    </w:p>
    <w:p w14:paraId="52FFDB33" w14:textId="3C90BC88" w:rsidR="009C6F13" w:rsidRDefault="00406C0A" w:rsidP="007511A8">
      <w:pPr>
        <w:pStyle w:val="texte"/>
        <w:spacing w:before="0" w:beforeAutospacing="0" w:after="0" w:afterAutospacing="0"/>
        <w:ind w:firstLine="567"/>
        <w:jc w:val="both"/>
      </w:pPr>
      <w:r>
        <w:t>C’est assez</w:t>
      </w:r>
      <w:r w:rsidR="000C210F">
        <w:t xml:space="preserve"> proche de ce que </w:t>
      </w:r>
      <w:r w:rsidR="00546680">
        <w:t>Guimarães</w:t>
      </w:r>
      <w:r w:rsidR="000C210F">
        <w:t xml:space="preserve"> dit des désignations, à savoir qu</w:t>
      </w:r>
      <w:proofErr w:type="gramStart"/>
      <w:r w:rsidR="000C210F">
        <w:t>’«</w:t>
      </w:r>
      <w:proofErr w:type="gramEnd"/>
      <w:r w:rsidR="000C210F">
        <w:t> elles</w:t>
      </w:r>
      <w:r w:rsidR="000C210F" w:rsidRPr="000C210F">
        <w:t xml:space="preserve"> ont un rôle très important qui ne se réduit pas à indiquer l’existence de quelque chose quelque part, ni même à servir d’étiquette à quelque chose. Un nom, quand il désigne, fonctionne comme un élément des relations historico-sociales qu’il aide à construire et dont il commence alors à faire partie</w:t>
      </w:r>
      <w:r w:rsidR="00FF3EED">
        <w:t> »</w:t>
      </w:r>
      <w:r w:rsidR="000C210F" w:rsidRPr="000C210F">
        <w:t>.</w:t>
      </w:r>
      <w:r w:rsidR="00FF3EED">
        <w:t xml:space="preserve"> </w:t>
      </w:r>
      <w:r w:rsidR="00780652">
        <w:t xml:space="preserve">La </w:t>
      </w:r>
      <w:r w:rsidR="00780652" w:rsidRPr="00EB76D8">
        <w:rPr>
          <w:i/>
        </w:rPr>
        <w:t>désignation</w:t>
      </w:r>
      <w:r w:rsidR="00EB76D8">
        <w:rPr>
          <w:i/>
        </w:rPr>
        <w:t xml:space="preserve"> </w:t>
      </w:r>
      <w:r w:rsidR="00780652" w:rsidRPr="00EB76D8">
        <w:t>d</w:t>
      </w:r>
      <w:r w:rsidR="001B348F">
        <w:t xml:space="preserve">e </w:t>
      </w:r>
      <w:r w:rsidR="00546680">
        <w:t>Guimarães</w:t>
      </w:r>
      <w:r w:rsidR="00780652">
        <w:t xml:space="preserve"> est bien la </w:t>
      </w:r>
      <w:r w:rsidR="00780652" w:rsidRPr="00EB76D8">
        <w:rPr>
          <w:i/>
        </w:rPr>
        <w:t>dénomination</w:t>
      </w:r>
      <w:r w:rsidR="00EB76D8">
        <w:t xml:space="preserve"> </w:t>
      </w:r>
      <w:r w:rsidR="00780652">
        <w:t xml:space="preserve">de </w:t>
      </w:r>
      <w:r w:rsidR="00546680">
        <w:t>Kleiber</w:t>
      </w:r>
      <w:r w:rsidR="00780652">
        <w:t xml:space="preserve">. </w:t>
      </w:r>
    </w:p>
    <w:p w14:paraId="3C891DED" w14:textId="1F8FC851" w:rsidR="00FF3EED" w:rsidRDefault="00780652" w:rsidP="007511A8">
      <w:pPr>
        <w:pStyle w:val="texte"/>
        <w:spacing w:before="0" w:beforeAutospacing="0" w:after="0" w:afterAutospacing="0"/>
        <w:ind w:firstLine="567"/>
        <w:jc w:val="both"/>
      </w:pPr>
      <w:r>
        <w:t xml:space="preserve">Je vais maintenant utiliser les mots de « dénomination » et de « désignation » dans le sens </w:t>
      </w:r>
      <w:proofErr w:type="spellStart"/>
      <w:r>
        <w:t>kleib</w:t>
      </w:r>
      <w:r w:rsidR="00A53646">
        <w:t>é</w:t>
      </w:r>
      <w:r>
        <w:t>rien</w:t>
      </w:r>
      <w:proofErr w:type="spellEnd"/>
      <w:r>
        <w:t xml:space="preserve">, y compris lorsque je parle de la sémantique de </w:t>
      </w:r>
      <w:r w:rsidR="00546680">
        <w:t>Guimarães</w:t>
      </w:r>
      <w:r>
        <w:t>. Le lecteur devra donc garder à l’esprit que mon usage de ces deux mots doit être inversé lorsqu’on par</w:t>
      </w:r>
      <w:r w:rsidR="00A53646">
        <w:t>le</w:t>
      </w:r>
      <w:r>
        <w:t xml:space="preserve"> de </w:t>
      </w:r>
      <w:r w:rsidR="00546680">
        <w:t>Guimarães</w:t>
      </w:r>
      <w:r>
        <w:t xml:space="preserve">. </w:t>
      </w:r>
    </w:p>
    <w:p w14:paraId="734DE43D" w14:textId="4499B9A9" w:rsidR="000C210F" w:rsidRDefault="00FF3EED" w:rsidP="007511A8">
      <w:pPr>
        <w:pStyle w:val="texte"/>
        <w:spacing w:before="0" w:beforeAutospacing="0" w:after="0" w:afterAutospacing="0"/>
        <w:ind w:firstLine="567"/>
        <w:jc w:val="both"/>
      </w:pPr>
      <w:r>
        <w:t xml:space="preserve">Chez nos deux auteurs, </w:t>
      </w:r>
      <w:r w:rsidR="00780652">
        <w:t>l</w:t>
      </w:r>
      <w:r>
        <w:t>es expressions dénominatives exist</w:t>
      </w:r>
      <w:r w:rsidR="0036543F">
        <w:t>ent</w:t>
      </w:r>
      <w:r>
        <w:t xml:space="preserve"> avant leur usage discursif</w:t>
      </w:r>
      <w:r w:rsidR="002872DD">
        <w:t>,</w:t>
      </w:r>
      <w:r>
        <w:t xml:space="preserve"> en tant qu</w:t>
      </w:r>
      <w:proofErr w:type="gramStart"/>
      <w:r>
        <w:t>’«</w:t>
      </w:r>
      <w:proofErr w:type="gramEnd"/>
      <w:r>
        <w:t> élément</w:t>
      </w:r>
      <w:r w:rsidR="009C6F13">
        <w:t>s</w:t>
      </w:r>
      <w:r>
        <w:t xml:space="preserve"> des relations historico-sociales » chez l’un, en tant qu’</w:t>
      </w:r>
      <w:r w:rsidR="009A1C87">
        <w:t>« </w:t>
      </w:r>
      <w:r>
        <w:t>association durable</w:t>
      </w:r>
      <w:r w:rsidR="009A1C87">
        <w:t> »</w:t>
      </w:r>
      <w:r>
        <w:t xml:space="preserve"> entre l’objet et le nom qui </w:t>
      </w:r>
      <w:r w:rsidR="0036543F">
        <w:t xml:space="preserve">en </w:t>
      </w:r>
      <w:r>
        <w:t>permet un usage ultérieur</w:t>
      </w:r>
      <w:r w:rsidR="002872DD">
        <w:t xml:space="preserve"> chez l’autre.</w:t>
      </w:r>
    </w:p>
    <w:p w14:paraId="0E39DB85" w14:textId="03E86B24" w:rsidR="00A53646" w:rsidRDefault="002872DD" w:rsidP="00005445">
      <w:pPr>
        <w:pStyle w:val="texte"/>
        <w:spacing w:before="0" w:beforeAutospacing="0" w:after="0" w:afterAutospacing="0"/>
        <w:ind w:firstLine="567"/>
        <w:jc w:val="both"/>
      </w:pPr>
      <w:r>
        <w:t xml:space="preserve">Aucun des </w:t>
      </w:r>
      <w:r w:rsidR="008362C8">
        <w:t xml:space="preserve">deux </w:t>
      </w:r>
      <w:r>
        <w:t xml:space="preserve">auteurs n’utilise les termes de « lexicalisation » et de </w:t>
      </w:r>
      <w:r w:rsidR="0036543F">
        <w:t>« </w:t>
      </w:r>
      <w:r>
        <w:t>corpus d’usage</w:t>
      </w:r>
      <w:r w:rsidR="0036543F">
        <w:t> », deux notions liées que j’ai développées dans mes travaux (</w:t>
      </w:r>
      <w:r w:rsidR="00A53646">
        <w:t xml:space="preserve">voir </w:t>
      </w:r>
      <w:proofErr w:type="spellStart"/>
      <w:r w:rsidR="0036543F">
        <w:t>Frath</w:t>
      </w:r>
      <w:proofErr w:type="spellEnd"/>
      <w:r w:rsidR="0036543F">
        <w:t xml:space="preserve"> 2020</w:t>
      </w:r>
      <w:r w:rsidR="00780652">
        <w:t xml:space="preserve">, </w:t>
      </w:r>
      <w:r w:rsidR="00CB318B">
        <w:t>2018, 2014, notamment</w:t>
      </w:r>
      <w:r w:rsidR="0036543F">
        <w:t>). M</w:t>
      </w:r>
      <w:r>
        <w:t xml:space="preserve">ais </w:t>
      </w:r>
      <w:r w:rsidR="00546680">
        <w:t>Guimarães</w:t>
      </w:r>
      <w:r w:rsidR="0036543F">
        <w:t xml:space="preserve"> donne une description discursive fonctionnelle</w:t>
      </w:r>
      <w:r w:rsidR="009C6F13">
        <w:t xml:space="preserve"> des corpus d’usage</w:t>
      </w:r>
      <w:r w:rsidR="0036543F">
        <w:t>. Pour lui</w:t>
      </w:r>
      <w:r w:rsidR="009C6F13">
        <w:t>,</w:t>
      </w:r>
      <w:r w:rsidR="0036543F">
        <w:t xml:space="preserve"> </w:t>
      </w:r>
    </w:p>
    <w:p w14:paraId="5CA72B65" w14:textId="77777777" w:rsidR="00A53646" w:rsidRDefault="00A53646" w:rsidP="00A53646">
      <w:pPr>
        <w:pStyle w:val="texte"/>
        <w:spacing w:before="0" w:beforeAutospacing="0" w:after="0" w:afterAutospacing="0"/>
        <w:jc w:val="both"/>
      </w:pPr>
    </w:p>
    <w:p w14:paraId="1438B6BB" w14:textId="77777777" w:rsidR="00A53646" w:rsidRPr="007123C0" w:rsidRDefault="0036543F" w:rsidP="007123C0">
      <w:pPr>
        <w:pStyle w:val="texte"/>
        <w:spacing w:before="0" w:beforeAutospacing="0" w:after="0" w:afterAutospacing="0"/>
        <w:ind w:left="284"/>
        <w:jc w:val="both"/>
        <w:rPr>
          <w:sz w:val="22"/>
          <w:szCs w:val="22"/>
        </w:rPr>
      </w:pPr>
      <w:proofErr w:type="gramStart"/>
      <w:r w:rsidRPr="007123C0">
        <w:rPr>
          <w:sz w:val="22"/>
          <w:szCs w:val="22"/>
        </w:rPr>
        <w:t>les</w:t>
      </w:r>
      <w:proofErr w:type="gramEnd"/>
      <w:r w:rsidRPr="007123C0">
        <w:rPr>
          <w:sz w:val="22"/>
          <w:szCs w:val="22"/>
        </w:rPr>
        <w:t xml:space="preserve"> noms identifient des </w:t>
      </w:r>
      <w:r w:rsidR="00406C0A" w:rsidRPr="007123C0">
        <w:rPr>
          <w:sz w:val="22"/>
          <w:szCs w:val="22"/>
        </w:rPr>
        <w:t xml:space="preserve">objets. Par exemple, </w:t>
      </w:r>
      <w:r w:rsidR="00406C0A" w:rsidRPr="007123C0">
        <w:rPr>
          <w:i/>
          <w:sz w:val="22"/>
          <w:szCs w:val="22"/>
        </w:rPr>
        <w:t>joueur</w:t>
      </w:r>
      <w:r w:rsidRPr="007123C0">
        <w:rPr>
          <w:sz w:val="22"/>
          <w:szCs w:val="22"/>
        </w:rPr>
        <w:t xml:space="preserve"> dans l’énoncé ci-dessus, ne signifie pas simplement le rapport de ce mot à la personne à qui il se réfère, ni l’ensemble des personnes qui sont des joueurs.</w:t>
      </w:r>
      <w:r w:rsidR="00406C0A" w:rsidRPr="007123C0">
        <w:rPr>
          <w:sz w:val="22"/>
          <w:szCs w:val="22"/>
        </w:rPr>
        <w:t xml:space="preserve"> Ce que </w:t>
      </w:r>
      <w:r w:rsidR="00406C0A" w:rsidRPr="007123C0">
        <w:rPr>
          <w:i/>
          <w:sz w:val="22"/>
          <w:szCs w:val="22"/>
        </w:rPr>
        <w:t>joueur</w:t>
      </w:r>
      <w:r w:rsidR="00406C0A" w:rsidRPr="007123C0">
        <w:rPr>
          <w:sz w:val="22"/>
          <w:szCs w:val="22"/>
        </w:rPr>
        <w:t xml:space="preserve"> </w:t>
      </w:r>
      <w:r w:rsidRPr="007123C0">
        <w:rPr>
          <w:sz w:val="22"/>
          <w:szCs w:val="22"/>
        </w:rPr>
        <w:t>dé</w:t>
      </w:r>
      <w:r w:rsidR="00780652" w:rsidRPr="007123C0">
        <w:rPr>
          <w:sz w:val="22"/>
          <w:szCs w:val="22"/>
        </w:rPr>
        <w:t>nomme</w:t>
      </w:r>
      <w:r w:rsidRPr="007123C0">
        <w:rPr>
          <w:sz w:val="22"/>
          <w:szCs w:val="22"/>
        </w:rPr>
        <w:t xml:space="preserve"> est constitué par les énonciations dont il a fait et fait encore partie et qui prédiquent ce qu’est un joueur</w:t>
      </w:r>
      <w:r w:rsidR="00406C0A" w:rsidRPr="007123C0">
        <w:rPr>
          <w:sz w:val="22"/>
          <w:szCs w:val="22"/>
        </w:rPr>
        <w:t xml:space="preserve">. </w:t>
      </w:r>
    </w:p>
    <w:p w14:paraId="5EC6F322" w14:textId="77777777" w:rsidR="00A53646" w:rsidRDefault="00A53646" w:rsidP="00A53646">
      <w:pPr>
        <w:pStyle w:val="texte"/>
        <w:spacing w:before="0" w:beforeAutospacing="0" w:after="0" w:afterAutospacing="0"/>
        <w:jc w:val="both"/>
        <w:rPr>
          <w:i/>
        </w:rPr>
      </w:pPr>
    </w:p>
    <w:p w14:paraId="116A38F8" w14:textId="1FB458D2" w:rsidR="00005445" w:rsidRDefault="00406C0A" w:rsidP="00A53646">
      <w:pPr>
        <w:pStyle w:val="texte"/>
        <w:spacing w:before="0" w:beforeAutospacing="0" w:after="0" w:afterAutospacing="0"/>
        <w:jc w:val="both"/>
      </w:pPr>
      <w:r w:rsidRPr="00406C0A">
        <w:rPr>
          <w:i/>
        </w:rPr>
        <w:t>Joueur</w:t>
      </w:r>
      <w:r w:rsidR="0036543F">
        <w:t xml:space="preserve"> est donc lexicalisé et l’ensemble des prédications qui le concernent correspondent bien à ce que j’appelle des « corpus d’usage », qui indiquent l’usage sémantique et discursif des mots</w:t>
      </w:r>
      <w:r w:rsidR="00780652">
        <w:t xml:space="preserve"> lexicalisés</w:t>
      </w:r>
      <w:r w:rsidR="004D0D34">
        <w:t>, et qui sont la source du sens lexical.</w:t>
      </w:r>
    </w:p>
    <w:p w14:paraId="33183EDD" w14:textId="3124E383" w:rsidR="00005445" w:rsidRDefault="0036543F" w:rsidP="00005445">
      <w:pPr>
        <w:pStyle w:val="texte"/>
        <w:spacing w:before="0" w:beforeAutospacing="0" w:after="0" w:afterAutospacing="0"/>
        <w:ind w:firstLine="567"/>
        <w:jc w:val="both"/>
      </w:pPr>
      <w:r>
        <w:t xml:space="preserve">Je note aussi que pour </w:t>
      </w:r>
      <w:r w:rsidR="00546680">
        <w:t>Guimarães</w:t>
      </w:r>
      <w:r>
        <w:t>, « </w:t>
      </w:r>
      <w:r w:rsidRPr="0036543F">
        <w:t>un nom n’est pas un mot qui classe des objets en les incluant dans certains ensembles</w:t>
      </w:r>
      <w:r>
        <w:t> ». Il rejette ainsi l’idée extrê</w:t>
      </w:r>
      <w:r w:rsidR="00BD2456">
        <w:t>me</w:t>
      </w:r>
      <w:r>
        <w:t xml:space="preserve">ment répandue </w:t>
      </w:r>
      <w:r w:rsidR="00BD2456">
        <w:t>chez</w:t>
      </w:r>
      <w:r>
        <w:t xml:space="preserve"> les linguistes que le rôle du nom est de catégoriser les objets.</w:t>
      </w:r>
      <w:r w:rsidR="00BD2456">
        <w:t xml:space="preserve"> Pour moi, et je suppose que </w:t>
      </w:r>
      <w:r w:rsidR="00546680">
        <w:t>Guimarães</w:t>
      </w:r>
      <w:r w:rsidR="00BD2456">
        <w:t xml:space="preserve"> a la même intuition, ce rôle </w:t>
      </w:r>
      <w:proofErr w:type="spellStart"/>
      <w:r w:rsidR="00BD2456">
        <w:t>catégorisateur</w:t>
      </w:r>
      <w:proofErr w:type="spellEnd"/>
      <w:r w:rsidR="00BD2456">
        <w:t xml:space="preserve"> du nom repose sur l’idée qu’il existe une réalité ontologique que la langue ne ferait que reproduire, un vieux débat qu’on peut faire re</w:t>
      </w:r>
      <w:r w:rsidR="00C7387E">
        <w:t>monter à Aristote</w:t>
      </w:r>
      <w:r w:rsidR="00BD2456">
        <w:t>.</w:t>
      </w:r>
      <w:r w:rsidR="00005445" w:rsidRPr="00005445">
        <w:rPr>
          <w:b/>
        </w:rPr>
        <w:t xml:space="preserve"> </w:t>
      </w:r>
      <w:r w:rsidR="00005445" w:rsidRPr="00780652">
        <w:t>Le nom ne catégorise pas l’objet</w:t>
      </w:r>
      <w:r w:rsidR="00005445">
        <w:t xml:space="preserve"> car cela supposerait l’existence platonicienne d’une catégorie dans laquelle faire entrer l’objet nommé, ce qui ramène le nom à une étiquette</w:t>
      </w:r>
      <w:r w:rsidR="008362C8">
        <w:t>.</w:t>
      </w:r>
    </w:p>
    <w:p w14:paraId="443063AD" w14:textId="77777777" w:rsidR="007511A8" w:rsidRDefault="007511A8" w:rsidP="00C7387E">
      <w:pPr>
        <w:pStyle w:val="texte"/>
        <w:spacing w:before="0" w:beforeAutospacing="0" w:after="0" w:afterAutospacing="0"/>
        <w:ind w:left="360"/>
        <w:jc w:val="both"/>
      </w:pPr>
    </w:p>
    <w:p w14:paraId="0F6CB0F4" w14:textId="77777777" w:rsidR="00A53646" w:rsidRPr="00FD23DC" w:rsidRDefault="00631422" w:rsidP="006C2F1D">
      <w:pPr>
        <w:pStyle w:val="texte"/>
        <w:spacing w:before="0" w:beforeAutospacing="0" w:after="0" w:afterAutospacing="0"/>
        <w:jc w:val="both"/>
        <w:rPr>
          <w:b/>
          <w:sz w:val="28"/>
          <w:szCs w:val="28"/>
        </w:rPr>
      </w:pPr>
      <w:r w:rsidRPr="00631422">
        <w:rPr>
          <w:b/>
          <w:sz w:val="28"/>
          <w:szCs w:val="28"/>
        </w:rPr>
        <w:t>L’énonciation comme espace politique</w:t>
      </w:r>
      <w:r w:rsidR="00515C58">
        <w:rPr>
          <w:b/>
          <w:sz w:val="28"/>
          <w:szCs w:val="28"/>
        </w:rPr>
        <w:t xml:space="preserve"> et l</w:t>
      </w:r>
      <w:r w:rsidR="00515C58" w:rsidRPr="00FD23DC">
        <w:rPr>
          <w:b/>
          <w:sz w:val="28"/>
          <w:szCs w:val="28"/>
        </w:rPr>
        <w:t>e locuteu</w:t>
      </w:r>
      <w:r w:rsidR="00515C58">
        <w:rPr>
          <w:b/>
          <w:sz w:val="28"/>
          <w:szCs w:val="28"/>
        </w:rPr>
        <w:t>r comme</w:t>
      </w:r>
      <w:r w:rsidR="00515C58" w:rsidRPr="00FD23DC">
        <w:rPr>
          <w:b/>
          <w:sz w:val="28"/>
          <w:szCs w:val="28"/>
        </w:rPr>
        <w:t xml:space="preserve"> catégorie linguistique</w:t>
      </w:r>
      <w:r w:rsidR="00515C58">
        <w:rPr>
          <w:b/>
          <w:sz w:val="28"/>
          <w:szCs w:val="28"/>
        </w:rPr>
        <w:t xml:space="preserve"> et politique</w:t>
      </w:r>
    </w:p>
    <w:p w14:paraId="57CD3098" w14:textId="77777777" w:rsidR="00A53646" w:rsidRDefault="00A53646" w:rsidP="0072528B">
      <w:pPr>
        <w:pStyle w:val="texte"/>
        <w:spacing w:before="0" w:beforeAutospacing="0" w:after="0" w:afterAutospacing="0"/>
        <w:ind w:firstLine="600"/>
        <w:jc w:val="both"/>
      </w:pPr>
    </w:p>
    <w:p w14:paraId="75CE1AA5" w14:textId="595E2CE3" w:rsidR="0072528B" w:rsidRDefault="00C7387E" w:rsidP="0072528B">
      <w:pPr>
        <w:pStyle w:val="texte"/>
        <w:spacing w:before="0" w:beforeAutospacing="0" w:after="0" w:afterAutospacing="0"/>
        <w:ind w:firstLine="600"/>
        <w:jc w:val="both"/>
      </w:pPr>
      <w:r>
        <w:t xml:space="preserve">Jusqu’ici, </w:t>
      </w:r>
      <w:r w:rsidR="0072528B">
        <w:t xml:space="preserve">il a été vu </w:t>
      </w:r>
      <w:r w:rsidR="00AC1DA7">
        <w:t xml:space="preserve">que les conceptions de </w:t>
      </w:r>
      <w:r w:rsidR="00546680">
        <w:t>Guimarães</w:t>
      </w:r>
      <w:r w:rsidR="00AC1DA7">
        <w:t xml:space="preserve"> et de </w:t>
      </w:r>
      <w:r w:rsidR="00546680">
        <w:t>Kleiber</w:t>
      </w:r>
      <w:r w:rsidR="0072528B">
        <w:t xml:space="preserve"> so</w:t>
      </w:r>
      <w:r w:rsidR="00D14DBE">
        <w:t>nt assez proches</w:t>
      </w:r>
      <w:r w:rsidR="00AC1DA7">
        <w:t xml:space="preserve">. </w:t>
      </w:r>
      <w:r w:rsidR="0072528B">
        <w:t xml:space="preserve">Il y a cependant </w:t>
      </w:r>
      <w:r w:rsidR="00780652">
        <w:t>quelques</w:t>
      </w:r>
      <w:r w:rsidR="0072528B">
        <w:t xml:space="preserve"> différences. </w:t>
      </w:r>
      <w:r w:rsidR="00A53646">
        <w:t>L’une d’elle concerne le fait</w:t>
      </w:r>
      <w:r w:rsidR="00AC1DA7">
        <w:t xml:space="preserve"> que </w:t>
      </w:r>
      <w:r w:rsidR="00546680">
        <w:t>Kleiber</w:t>
      </w:r>
      <w:r w:rsidR="00AC1DA7">
        <w:t xml:space="preserve"> a beauco</w:t>
      </w:r>
      <w:r w:rsidR="0072528B">
        <w:t xml:space="preserve">up travaillé sur </w:t>
      </w:r>
      <w:r w:rsidR="00AC1DA7">
        <w:t>la</w:t>
      </w:r>
      <w:r w:rsidR="0072528B">
        <w:t xml:space="preserve"> dénomination, </w:t>
      </w:r>
      <w:r w:rsidR="00A53646">
        <w:t xml:space="preserve">que </w:t>
      </w:r>
      <w:r w:rsidR="00546680">
        <w:t>Guimarães</w:t>
      </w:r>
      <w:r w:rsidR="00A53646">
        <w:t xml:space="preserve"> appelle « désignation »</w:t>
      </w:r>
      <w:r w:rsidR="00907AF0">
        <w:t>,</w:t>
      </w:r>
      <w:r w:rsidR="00A53646">
        <w:t xml:space="preserve"> ce qui a pe</w:t>
      </w:r>
      <w:r w:rsidR="00907AF0">
        <w:t xml:space="preserve">ut-être empêché </w:t>
      </w:r>
      <w:r w:rsidR="009C6F13">
        <w:t xml:space="preserve">ce dernier </w:t>
      </w:r>
      <w:r w:rsidR="00907AF0">
        <w:t>d’en bien comprendre les particularités, et notamment celle du phénomène de lexicalisation. J</w:t>
      </w:r>
      <w:r w:rsidR="00AC1DA7">
        <w:t xml:space="preserve">’ai repris </w:t>
      </w:r>
      <w:r w:rsidR="00907AF0">
        <w:t xml:space="preserve">quant à moi la conception de la dénomination référentielle de </w:t>
      </w:r>
      <w:r w:rsidR="00546680">
        <w:t>Kleiber</w:t>
      </w:r>
      <w:r w:rsidR="00907AF0">
        <w:t xml:space="preserve"> et j’y ai ajouté la notion de corpus d’usage, proche de</w:t>
      </w:r>
      <w:r w:rsidR="005634DF">
        <w:t xml:space="preserve"> certaines caractéristiques de</w:t>
      </w:r>
      <w:r w:rsidR="00907AF0">
        <w:t xml:space="preserve"> la « désignation</w:t>
      </w:r>
      <w:r w:rsidR="00EB76D8">
        <w:t xml:space="preserve"> » </w:t>
      </w:r>
      <w:r w:rsidR="00907AF0">
        <w:t xml:space="preserve">de </w:t>
      </w:r>
      <w:r w:rsidR="00546680">
        <w:t>Guimarães</w:t>
      </w:r>
      <w:r w:rsidR="00907AF0">
        <w:t>, ainsi qu’il a été vu plus haut. J’ai finalement</w:t>
      </w:r>
      <w:r w:rsidR="00AC1DA7">
        <w:t xml:space="preserve"> abouti à une conception phraséologique de la langue où la syntaxe ne s’</w:t>
      </w:r>
      <w:r w:rsidR="000874E9">
        <w:t>exprime</w:t>
      </w:r>
      <w:r w:rsidR="00AC1DA7">
        <w:t xml:space="preserve"> p</w:t>
      </w:r>
      <w:r w:rsidR="000874E9">
        <w:t>as à travers des règles platoni</w:t>
      </w:r>
      <w:r w:rsidR="00AC1DA7">
        <w:t xml:space="preserve">ciennes, mais </w:t>
      </w:r>
      <w:r w:rsidR="000874E9">
        <w:t xml:space="preserve">grâce à des habitudes, des régularités et des </w:t>
      </w:r>
      <w:r w:rsidR="000874E9">
        <w:lastRenderedPageBreak/>
        <w:t xml:space="preserve">colligations, ainsi que des indices morphologiques, </w:t>
      </w:r>
      <w:proofErr w:type="spellStart"/>
      <w:r w:rsidR="000874E9">
        <w:t>valenciels</w:t>
      </w:r>
      <w:proofErr w:type="spellEnd"/>
      <w:r w:rsidR="000874E9">
        <w:t xml:space="preserve">, anaphoriques et cataphoriques qui permettent </w:t>
      </w:r>
      <w:r w:rsidR="00780652">
        <w:t xml:space="preserve">au locuteur </w:t>
      </w:r>
      <w:r w:rsidR="000874E9">
        <w:t>de poser des jalons dans l’énoncé</w:t>
      </w:r>
      <w:r w:rsidR="00236233">
        <w:t xml:space="preserve"> (</w:t>
      </w:r>
      <w:proofErr w:type="spellStart"/>
      <w:r w:rsidR="00236233">
        <w:t>Frath</w:t>
      </w:r>
      <w:proofErr w:type="spellEnd"/>
      <w:r w:rsidR="00EC49F5">
        <w:t>,</w:t>
      </w:r>
      <w:r w:rsidR="00236233">
        <w:t xml:space="preserve"> 2020)</w:t>
      </w:r>
      <w:r w:rsidR="000874E9">
        <w:t>.</w:t>
      </w:r>
    </w:p>
    <w:p w14:paraId="7EE12D90" w14:textId="78FA7B6B" w:rsidR="00C7387E" w:rsidRDefault="009C6F13" w:rsidP="0072528B">
      <w:pPr>
        <w:pStyle w:val="texte"/>
        <w:spacing w:before="0" w:beforeAutospacing="0" w:after="0" w:afterAutospacing="0"/>
        <w:ind w:firstLine="600"/>
        <w:jc w:val="both"/>
      </w:pPr>
      <w:r>
        <w:t>Une autre différence est que</w:t>
      </w:r>
      <w:r w:rsidR="00907AF0">
        <w:t xml:space="preserve"> les notions de temporalité et d’événement sont absentes chez </w:t>
      </w:r>
      <w:r w:rsidR="00546680">
        <w:t>Kleiber</w:t>
      </w:r>
      <w:r w:rsidR="00907AF0">
        <w:t xml:space="preserve"> alors qu’elles sont centrales chez</w:t>
      </w:r>
      <w:r w:rsidR="0072528B">
        <w:t xml:space="preserve"> </w:t>
      </w:r>
      <w:r w:rsidR="00546680">
        <w:t>Guimarães</w:t>
      </w:r>
      <w:r w:rsidR="005634DF">
        <w:t xml:space="preserve">. Pour </w:t>
      </w:r>
      <w:r w:rsidR="00EB76D8">
        <w:t xml:space="preserve">ce dernier, </w:t>
      </w:r>
      <w:r w:rsidR="005634DF">
        <w:t xml:space="preserve">elles font partie intégrante </w:t>
      </w:r>
      <w:r w:rsidR="0072528B">
        <w:t xml:space="preserve">du sens. Je donne ci-dessous quelques extraits </w:t>
      </w:r>
      <w:r w:rsidR="00D64F9E">
        <w:t>du texte d’</w:t>
      </w:r>
      <w:r w:rsidR="00546680">
        <w:t>Guimarães</w:t>
      </w:r>
      <w:r w:rsidR="00D64F9E">
        <w:t xml:space="preserve"> </w:t>
      </w:r>
      <w:r w:rsidR="0072528B">
        <w:t>qui abordent ces questions</w:t>
      </w:r>
      <w:r w:rsidR="00EC49F5">
        <w:t> :</w:t>
      </w:r>
      <w:r w:rsidR="000874E9">
        <w:t xml:space="preserve"> </w:t>
      </w:r>
    </w:p>
    <w:p w14:paraId="1F9DF6CF" w14:textId="77777777" w:rsidR="0072528B" w:rsidRDefault="0072528B" w:rsidP="0072528B">
      <w:pPr>
        <w:pStyle w:val="texte"/>
        <w:spacing w:before="0" w:beforeAutospacing="0" w:after="0" w:afterAutospacing="0"/>
        <w:ind w:firstLine="600"/>
        <w:jc w:val="both"/>
      </w:pPr>
    </w:p>
    <w:p w14:paraId="0A1222AB" w14:textId="77777777" w:rsidR="00B333F3" w:rsidRPr="007123C0" w:rsidRDefault="00B333F3" w:rsidP="007123C0">
      <w:pPr>
        <w:pStyle w:val="texte"/>
        <w:spacing w:before="0" w:beforeAutospacing="0" w:after="0" w:afterAutospacing="0"/>
        <w:ind w:left="284"/>
        <w:jc w:val="both"/>
        <w:rPr>
          <w:sz w:val="22"/>
          <w:szCs w:val="22"/>
        </w:rPr>
      </w:pPr>
      <w:r w:rsidRPr="007123C0">
        <w:rPr>
          <w:sz w:val="22"/>
          <w:szCs w:val="22"/>
        </w:rPr>
        <w:t>Pour moi, considérer le langage par l’analyse de l’événement de l’énonciation place le rapport entre langue et locuteur au centre des attentions, car il n’y a de langues que parce qu’il y a des locuteurs et il n’y a des locuteurs que parce qu’il y a des langues. Et cette relation ne peut pas être considérée comme une relation empirique telle que, par exemple : au Brésil, on parle portugais, en France, on parle français, etc. Ou encore : au Paraguay, on parle espagnol et guarani. Cette relation entre locuteurs et langues m’intéresse en tant qu’elle désigne un espace régulé et un espace de lutte pour la parole et pour les langues et, donc, en tant qu’elle est un espace politique.</w:t>
      </w:r>
    </w:p>
    <w:p w14:paraId="74C8A7D3" w14:textId="77777777" w:rsidR="006C2F1D" w:rsidRPr="007123C0" w:rsidRDefault="006C2F1D" w:rsidP="007123C0">
      <w:pPr>
        <w:pStyle w:val="texte"/>
        <w:spacing w:before="0" w:beforeAutospacing="0" w:after="0" w:afterAutospacing="0"/>
        <w:ind w:left="284"/>
        <w:jc w:val="both"/>
        <w:rPr>
          <w:sz w:val="22"/>
          <w:szCs w:val="22"/>
        </w:rPr>
      </w:pPr>
    </w:p>
    <w:p w14:paraId="50DB4236" w14:textId="77777777" w:rsidR="00B333F3" w:rsidRPr="007123C0" w:rsidRDefault="00B333F3" w:rsidP="007123C0">
      <w:pPr>
        <w:pStyle w:val="texte"/>
        <w:spacing w:before="0" w:beforeAutospacing="0" w:after="0" w:afterAutospacing="0"/>
        <w:ind w:left="284"/>
        <w:jc w:val="both"/>
        <w:rPr>
          <w:sz w:val="22"/>
          <w:szCs w:val="22"/>
        </w:rPr>
      </w:pPr>
      <w:r w:rsidRPr="007123C0">
        <w:rPr>
          <w:sz w:val="22"/>
          <w:szCs w:val="22"/>
        </w:rPr>
        <w:t>Les locuteurs ne sont pas les individus, les personnes qui parlent telle ou telle langue. Les locuteurs sont ces personnes en tant que déterminées par les langues qu’elles parlent. Dans ce sens, les locuteurs ne sont pas les personnes dans l’activité physico-physiologique ou psychique du parler. Ils sont sujets de la langue car ils sont constitués par cet espace de langues et de locuteurs que j’appelle l’espace d’énonciation.</w:t>
      </w:r>
    </w:p>
    <w:p w14:paraId="0687F580" w14:textId="77777777" w:rsidR="006C2F1D" w:rsidRPr="007123C0" w:rsidRDefault="006C2F1D" w:rsidP="007123C0">
      <w:pPr>
        <w:pStyle w:val="texte"/>
        <w:spacing w:before="0" w:beforeAutospacing="0" w:after="0" w:afterAutospacing="0"/>
        <w:ind w:left="284"/>
        <w:jc w:val="both"/>
        <w:rPr>
          <w:sz w:val="22"/>
          <w:szCs w:val="22"/>
        </w:rPr>
      </w:pPr>
    </w:p>
    <w:p w14:paraId="28E1E7D9" w14:textId="77777777" w:rsidR="00B333F3" w:rsidRPr="007123C0" w:rsidRDefault="00B333F3" w:rsidP="007123C0">
      <w:pPr>
        <w:pStyle w:val="texte"/>
        <w:spacing w:before="0" w:beforeAutospacing="0" w:after="0" w:afterAutospacing="0"/>
        <w:ind w:left="284"/>
        <w:jc w:val="both"/>
        <w:rPr>
          <w:sz w:val="22"/>
          <w:szCs w:val="22"/>
        </w:rPr>
      </w:pPr>
      <w:r w:rsidRPr="007123C0">
        <w:rPr>
          <w:sz w:val="22"/>
          <w:szCs w:val="22"/>
        </w:rPr>
        <w:t>Ainsi, je considère que le locuteur, tel que je le conçois, est une catégorie linguistique et énonciative. Sur ce point, ma position se distingue de celle de Ducrot (1984), mais en un sens très précis. Le locuteur, tel que Ducrot le conçoit (comme figure physico-physiologique et psychique), n’est pas un personnage de l’énonciation ; je suis parfaitement d’accord sur ce point mais, en revanche, je considère que le locuteur n’est pas une figure empirique. Pour moi, c’est une figure politique constituée par les espaces d’énonciation. Et dans cette mesure, il doit être inclus parmi les figures de l’énonciation.</w:t>
      </w:r>
    </w:p>
    <w:p w14:paraId="7D883A15" w14:textId="77777777" w:rsidR="006C2F1D" w:rsidRDefault="006C2F1D" w:rsidP="006C2F1D">
      <w:pPr>
        <w:pStyle w:val="texte"/>
        <w:spacing w:before="0" w:beforeAutospacing="0" w:after="0" w:afterAutospacing="0"/>
        <w:jc w:val="both"/>
        <w:rPr>
          <w:b/>
        </w:rPr>
      </w:pPr>
    </w:p>
    <w:p w14:paraId="6E29380E" w14:textId="77777777" w:rsidR="00515C58" w:rsidRPr="00663E90" w:rsidRDefault="0072528B" w:rsidP="006C2F1D">
      <w:pPr>
        <w:pStyle w:val="texte"/>
        <w:spacing w:before="0" w:beforeAutospacing="0" w:after="0" w:afterAutospacing="0"/>
        <w:jc w:val="both"/>
        <w:rPr>
          <w:b/>
        </w:rPr>
      </w:pPr>
      <w:r>
        <w:rPr>
          <w:b/>
        </w:rPr>
        <w:t>Commentaires</w:t>
      </w:r>
    </w:p>
    <w:p w14:paraId="3E5857D0" w14:textId="53B3F8BD" w:rsidR="00B8278D" w:rsidRDefault="00546680" w:rsidP="00B127B4">
      <w:pPr>
        <w:pStyle w:val="texte"/>
        <w:spacing w:before="0" w:beforeAutospacing="0" w:after="0" w:afterAutospacing="0"/>
        <w:ind w:firstLine="600"/>
        <w:jc w:val="both"/>
      </w:pPr>
      <w:r>
        <w:t>Guimarães</w:t>
      </w:r>
      <w:r w:rsidR="00BE51B3">
        <w:t xml:space="preserve"> reprend ici </w:t>
      </w:r>
      <w:r w:rsidR="009C6F13">
        <w:t>en substance</w:t>
      </w:r>
      <w:r w:rsidR="00BE51B3">
        <w:t xml:space="preserve"> une </w:t>
      </w:r>
      <w:r w:rsidR="005634DF">
        <w:t>sentence</w:t>
      </w:r>
      <w:r w:rsidR="00BE51B3">
        <w:t xml:space="preserve"> </w:t>
      </w:r>
      <w:r w:rsidR="00D64F9E">
        <w:t>bien connue</w:t>
      </w:r>
      <w:r w:rsidR="009C6F13">
        <w:t>,</w:t>
      </w:r>
      <w:r w:rsidR="00D64F9E">
        <w:t xml:space="preserve"> </w:t>
      </w:r>
      <w:r w:rsidR="00BE51B3">
        <w:t>constr</w:t>
      </w:r>
      <w:r w:rsidR="00D14DBE">
        <w:t>uite contre le sens commun</w:t>
      </w:r>
      <w:r w:rsidR="009C6F13">
        <w:t xml:space="preserve">, </w:t>
      </w:r>
      <w:r w:rsidR="00BE51B3">
        <w:t xml:space="preserve">selon laquelle ce n’est </w:t>
      </w:r>
      <w:r w:rsidR="008362C8">
        <w:t xml:space="preserve">pas </w:t>
      </w:r>
      <w:r w:rsidR="00BE51B3">
        <w:t xml:space="preserve">nous qui parlons la langue mais </w:t>
      </w:r>
      <w:r w:rsidR="00B8278D">
        <w:t xml:space="preserve">c’est </w:t>
      </w:r>
      <w:r w:rsidR="00BE51B3">
        <w:t>la la</w:t>
      </w:r>
      <w:r w:rsidR="00B8278D">
        <w:t xml:space="preserve">ngue qui nous parle.  </w:t>
      </w:r>
      <w:r w:rsidR="00BE51B3">
        <w:t>Les poètes et certains écrivains défendent une version optimiste de cette maxime</w:t>
      </w:r>
      <w:r w:rsidR="007A1075">
        <w:t xml:space="preserve"> et considèrent qu’en assemblant les mots dans des phrases</w:t>
      </w:r>
      <w:r w:rsidR="00BE51B3">
        <w:t xml:space="preserve"> </w:t>
      </w:r>
      <w:r w:rsidR="007A1075">
        <w:t>inhabituelles</w:t>
      </w:r>
      <w:r w:rsidR="00D64F9E">
        <w:t xml:space="preserve">, </w:t>
      </w:r>
      <w:r w:rsidR="007A1075">
        <w:t>on révèle des signi</w:t>
      </w:r>
      <w:r w:rsidR="00A64620">
        <w:t>fications cachées et nouvelles. C’est le cas de Rim</w:t>
      </w:r>
      <w:r w:rsidR="00B8278D">
        <w:t>baud</w:t>
      </w:r>
      <w:r w:rsidR="00B167E7">
        <w:t xml:space="preserve">, par exemple dans </w:t>
      </w:r>
      <w:r w:rsidR="00B167E7" w:rsidRPr="003170D3">
        <w:rPr>
          <w:i/>
        </w:rPr>
        <w:t>Le bateau ivre</w:t>
      </w:r>
      <w:r w:rsidR="00B167E7">
        <w:t>,</w:t>
      </w:r>
      <w:r w:rsidR="00B8278D">
        <w:t xml:space="preserve"> et de poètes surréalistes </w:t>
      </w:r>
      <w:r w:rsidR="00B167E7">
        <w:t>comme André Breton</w:t>
      </w:r>
      <w:r w:rsidR="00B8278D">
        <w:t>.</w:t>
      </w:r>
      <w:r w:rsidR="00A64620">
        <w:t xml:space="preserve"> Une</w:t>
      </w:r>
      <w:r w:rsidR="007A1075">
        <w:t xml:space="preserve"> version pessimiste</w:t>
      </w:r>
      <w:r w:rsidR="00D64F9E">
        <w:t xml:space="preserve"> </w:t>
      </w:r>
      <w:r w:rsidR="00BE51B3">
        <w:t>rejoint une remarque de Ludwig Wittgenstein</w:t>
      </w:r>
      <w:r w:rsidR="007A1075">
        <w:t xml:space="preserve"> selon laquelle</w:t>
      </w:r>
      <w:r w:rsidR="00A23124">
        <w:t xml:space="preserve"> « </w:t>
      </w:r>
      <w:r w:rsidR="00A23124" w:rsidRPr="00A23124">
        <w:t>Est vrai et faux ce que les hommes disent l</w:t>
      </w:r>
      <w:r w:rsidR="007E6335">
        <w:t>’</w:t>
      </w:r>
      <w:r w:rsidR="00A23124" w:rsidRPr="00A23124">
        <w:t>être ; et ils s</w:t>
      </w:r>
      <w:r w:rsidR="007E6335">
        <w:t>’</w:t>
      </w:r>
      <w:r w:rsidR="00A23124" w:rsidRPr="00A23124">
        <w:t>accordent dans le langage qu</w:t>
      </w:r>
      <w:r w:rsidR="007E6335">
        <w:t>’</w:t>
      </w:r>
      <w:r w:rsidR="00A23124" w:rsidRPr="00A23124">
        <w:t xml:space="preserve">ils emploient. Ce n'est pas une conformité d'opinion, c'est </w:t>
      </w:r>
      <w:r w:rsidR="00A23124" w:rsidRPr="00704613">
        <w:rPr>
          <w:i/>
        </w:rPr>
        <w:t>une forme de vie</w:t>
      </w:r>
      <w:r w:rsidR="00A23124">
        <w:t> »</w:t>
      </w:r>
      <w:r w:rsidR="00A23124">
        <w:rPr>
          <w:rStyle w:val="Appelnotedebasdep"/>
        </w:rPr>
        <w:footnoteReference w:id="2"/>
      </w:r>
      <w:r w:rsidR="00A23124">
        <w:t xml:space="preserve">. </w:t>
      </w:r>
      <w:r w:rsidR="00D85D2B">
        <w:t xml:space="preserve">Effectivement, à chaque moment de l’histoire nous </w:t>
      </w:r>
      <w:r w:rsidR="00CA303A">
        <w:t>disons</w:t>
      </w:r>
      <w:r w:rsidR="00D85D2B">
        <w:t xml:space="preserve"> </w:t>
      </w:r>
      <w:r w:rsidR="00CE6429">
        <w:t>tou</w:t>
      </w:r>
      <w:r w:rsidR="00D14DBE">
        <w:t xml:space="preserve">s </w:t>
      </w:r>
      <w:r w:rsidR="00CA303A">
        <w:t xml:space="preserve">les mêmes choses, </w:t>
      </w:r>
      <w:r w:rsidR="00D14DBE">
        <w:t>ce</w:t>
      </w:r>
      <w:r w:rsidR="00CA303A">
        <w:t>lles</w:t>
      </w:r>
      <w:r w:rsidR="00D14DBE">
        <w:t xml:space="preserve"> qui nous </w:t>
      </w:r>
      <w:r w:rsidR="008362C8">
        <w:t>semble</w:t>
      </w:r>
      <w:r w:rsidR="00CA303A">
        <w:t>nt</w:t>
      </w:r>
      <w:r w:rsidR="008362C8">
        <w:t xml:space="preserve"> être</w:t>
      </w:r>
      <w:r w:rsidR="00D14DBE">
        <w:t xml:space="preserve"> des</w:t>
      </w:r>
      <w:r w:rsidR="00CE6429">
        <w:t xml:space="preserve"> </w:t>
      </w:r>
      <w:r w:rsidR="005D0BFC">
        <w:t>vérité</w:t>
      </w:r>
      <w:r w:rsidR="00D14DBE">
        <w:t>s</w:t>
      </w:r>
      <w:r w:rsidR="005D0BFC">
        <w:t xml:space="preserve">. </w:t>
      </w:r>
      <w:r w:rsidR="004C577D">
        <w:t>La langue nous met dans la bouche des éléments linguistiques que nous répétons tous peu ou prou. Par exemple, d</w:t>
      </w:r>
      <w:r w:rsidR="005D0BFC">
        <w:t xml:space="preserve">ans le domaine écologique, </w:t>
      </w:r>
      <w:r w:rsidR="004C577D">
        <w:t xml:space="preserve">dans </w:t>
      </w:r>
      <w:r w:rsidR="005D0BFC">
        <w:t xml:space="preserve">les années </w:t>
      </w:r>
      <w:r w:rsidR="007E6335">
        <w:t>19</w:t>
      </w:r>
      <w:r w:rsidR="005D0BFC">
        <w:t>80</w:t>
      </w:r>
      <w:r w:rsidR="004C577D">
        <w:t>, on a</w:t>
      </w:r>
      <w:r w:rsidR="005D0BFC">
        <w:t xml:space="preserve"> prédit la mort des forêts, </w:t>
      </w:r>
      <w:r w:rsidR="004C577D">
        <w:t xml:space="preserve">dans </w:t>
      </w:r>
      <w:r w:rsidR="005D0BFC">
        <w:t xml:space="preserve">les années </w:t>
      </w:r>
      <w:r w:rsidR="007E6335">
        <w:t>19</w:t>
      </w:r>
      <w:r w:rsidR="005D0BFC">
        <w:t>90</w:t>
      </w:r>
      <w:r w:rsidR="004C577D">
        <w:t>,</w:t>
      </w:r>
      <w:r w:rsidR="005D0BFC">
        <w:t xml:space="preserve"> </w:t>
      </w:r>
      <w:r w:rsidR="004C577D">
        <w:t>on s’inquiétait du</w:t>
      </w:r>
      <w:r w:rsidR="005D0BFC">
        <w:t xml:space="preserve"> trou</w:t>
      </w:r>
      <w:r w:rsidR="00A23124">
        <w:t xml:space="preserve"> dans la couche d’ozone, et depuis</w:t>
      </w:r>
      <w:r w:rsidR="005D0BFC">
        <w:t xml:space="preserve"> les années 2000, c’est le réchauffement climatique</w:t>
      </w:r>
      <w:r w:rsidR="00D14DBE">
        <w:t xml:space="preserve"> qui occupe les esprits</w:t>
      </w:r>
      <w:r w:rsidR="005D0BFC">
        <w:t xml:space="preserve">. Les deux premières craintes ont été oubliées, bien qu’elles </w:t>
      </w:r>
      <w:r w:rsidR="00B8278D">
        <w:t>repos</w:t>
      </w:r>
      <w:r w:rsidR="00CA303A">
        <w:t>ent</w:t>
      </w:r>
      <w:r w:rsidR="005D0BFC">
        <w:t xml:space="preserve"> sur des faits réels</w:t>
      </w:r>
      <w:r w:rsidR="00D64F9E">
        <w:t>. Elles ont été</w:t>
      </w:r>
      <w:r w:rsidR="005D0BFC">
        <w:t xml:space="preserve"> remplacées par le réchauffement climatique, lui aussi basé sur des faits que chacun peut constater. Une crainte chasse </w:t>
      </w:r>
      <w:r w:rsidR="00D14DBE">
        <w:t>l’autre et d’un point de vue anthropologique</w:t>
      </w:r>
      <w:r w:rsidR="005D0BFC">
        <w:t>, on</w:t>
      </w:r>
      <w:r w:rsidR="00D64F9E">
        <w:t xml:space="preserve"> est amené à</w:t>
      </w:r>
      <w:r w:rsidR="005D0BFC">
        <w:t xml:space="preserve"> </w:t>
      </w:r>
      <w:r w:rsidR="00CE6429">
        <w:t>penser</w:t>
      </w:r>
      <w:r w:rsidR="005D0BFC">
        <w:t xml:space="preserve"> que</w:t>
      </w:r>
      <w:r w:rsidR="00CE6429">
        <w:t>, pour des raisons qu’il reste à élucider,</w:t>
      </w:r>
      <w:r w:rsidR="005D0BFC">
        <w:t xml:space="preserve"> </w:t>
      </w:r>
      <w:r w:rsidR="00CE6429">
        <w:t>l’humanité a besoin de craintes apocalyptiques</w:t>
      </w:r>
      <w:r w:rsidR="005634DF">
        <w:rPr>
          <w:rStyle w:val="Appelnotedebasdep"/>
        </w:rPr>
        <w:footnoteReference w:id="3"/>
      </w:r>
      <w:r w:rsidR="00D14DBE">
        <w:t xml:space="preserve">, lesquelles s’appuient sur certains </w:t>
      </w:r>
      <w:r w:rsidR="00D14DBE">
        <w:lastRenderedPageBreak/>
        <w:t xml:space="preserve">faits mais en ignorent d’autres. Il </w:t>
      </w:r>
      <w:r w:rsidR="00CE6429">
        <w:t>est sûr que le réchauffement actuel</w:t>
      </w:r>
      <w:r w:rsidR="005D0BFC">
        <w:t xml:space="preserve"> va bouleverser la vie des hommes, mais il </w:t>
      </w:r>
      <w:r w:rsidR="00D14DBE">
        <w:t>conviendrait de se rappeler q</w:t>
      </w:r>
      <w:r w:rsidR="004C577D">
        <w:t>u</w:t>
      </w:r>
      <w:r w:rsidR="00D14DBE">
        <w:t xml:space="preserve">’il y a eu </w:t>
      </w:r>
      <w:r w:rsidR="005D0BFC">
        <w:t>d’autre</w:t>
      </w:r>
      <w:r w:rsidR="00CE6429">
        <w:t>s</w:t>
      </w:r>
      <w:r w:rsidR="005D0BFC">
        <w:t xml:space="preserve"> périodes chaudes dans l’histoire</w:t>
      </w:r>
      <w:r w:rsidR="00D14DBE">
        <w:t xml:space="preserve"> de la Terre</w:t>
      </w:r>
      <w:r w:rsidR="005D0BFC">
        <w:t>. O</w:t>
      </w:r>
      <w:r w:rsidR="00CE6429">
        <w:t xml:space="preserve">n sait par </w:t>
      </w:r>
      <w:r w:rsidR="005D0BFC">
        <w:t>exemple qu’il y a 56 millions d’années</w:t>
      </w:r>
      <w:r w:rsidR="00CE6429">
        <w:t>, des forêts poussa</w:t>
      </w:r>
      <w:r w:rsidR="004C577D">
        <w:t>ient en Antarctique et que la</w:t>
      </w:r>
      <w:r w:rsidR="00CE6429">
        <w:t xml:space="preserve"> vague</w:t>
      </w:r>
      <w:r w:rsidR="005D0BFC">
        <w:t xml:space="preserve"> de chaleur </w:t>
      </w:r>
      <w:r w:rsidR="004C577D">
        <w:t>qui a fait fondre les calottes polaires</w:t>
      </w:r>
      <w:r w:rsidR="003170D3">
        <w:t xml:space="preserve"> à cette époque-là</w:t>
      </w:r>
      <w:r w:rsidR="004C577D">
        <w:t xml:space="preserve"> </w:t>
      </w:r>
      <w:r w:rsidR="005D0BFC">
        <w:t>a duré 200 000 ans.</w:t>
      </w:r>
      <w:r w:rsidR="00D64F9E">
        <w:t xml:space="preserve"> L’événement reste à ce jour inexpliqué.</w:t>
      </w:r>
      <w:r w:rsidR="005D0BFC">
        <w:t xml:space="preserve"> </w:t>
      </w:r>
      <w:r w:rsidR="00CE6429">
        <w:t>Pl</w:t>
      </w:r>
      <w:r w:rsidR="005D0BFC">
        <w:t xml:space="preserve">us </w:t>
      </w:r>
      <w:r w:rsidR="00CE6429">
        <w:t xml:space="preserve">récemment, </w:t>
      </w:r>
      <w:r w:rsidR="005634DF">
        <w:t>l’analyse de carottes de</w:t>
      </w:r>
      <w:r w:rsidR="00D64F9E">
        <w:t xml:space="preserve"> glace polaire </w:t>
      </w:r>
      <w:r w:rsidR="005634DF">
        <w:t>a</w:t>
      </w:r>
      <w:r w:rsidR="00D64F9E">
        <w:t xml:space="preserve"> montré qu’</w:t>
      </w:r>
      <w:r w:rsidR="00CE6429">
        <w:t>un réchauf</w:t>
      </w:r>
      <w:r w:rsidR="005D0BFC">
        <w:t>fe</w:t>
      </w:r>
      <w:r w:rsidR="00CE6429">
        <w:t>ment cl</w:t>
      </w:r>
      <w:r w:rsidR="005D0BFC">
        <w:t>imatique</w:t>
      </w:r>
      <w:r w:rsidR="00CE6429">
        <w:t xml:space="preserve"> </w:t>
      </w:r>
      <w:r w:rsidR="00B127B4">
        <w:t xml:space="preserve">a eu lieu </w:t>
      </w:r>
      <w:r w:rsidR="00CE6429">
        <w:t xml:space="preserve">il y a </w:t>
      </w:r>
      <w:r w:rsidR="00D64F9E">
        <w:t xml:space="preserve">quelque </w:t>
      </w:r>
      <w:r w:rsidR="00CE6429">
        <w:t xml:space="preserve">8000 ans </w:t>
      </w:r>
      <w:r w:rsidR="00B8278D">
        <w:t xml:space="preserve">et </w:t>
      </w:r>
      <w:r w:rsidR="00B127B4">
        <w:t xml:space="preserve">que </w:t>
      </w:r>
      <w:r w:rsidR="00B8278D">
        <w:t xml:space="preserve">les températures atteintes furent </w:t>
      </w:r>
      <w:r w:rsidR="00CE6429">
        <w:t>plus é</w:t>
      </w:r>
      <w:r w:rsidR="005D0BFC">
        <w:t>levé</w:t>
      </w:r>
      <w:r w:rsidR="00B8278D">
        <w:t>es que celles d’aujourd’hui</w:t>
      </w:r>
      <w:r w:rsidR="005D0BFC">
        <w:t>. Ces faits, pourtant c</w:t>
      </w:r>
      <w:r w:rsidR="00CE6429">
        <w:t>o</w:t>
      </w:r>
      <w:r w:rsidR="005D0BFC">
        <w:t>nnus</w:t>
      </w:r>
      <w:r w:rsidR="00D64F9E">
        <w:t xml:space="preserve"> des spécialistes</w:t>
      </w:r>
      <w:r w:rsidR="005D0BFC">
        <w:t xml:space="preserve">, ne sont </w:t>
      </w:r>
      <w:r w:rsidR="00B8278D">
        <w:t xml:space="preserve">pas </w:t>
      </w:r>
      <w:r w:rsidR="005D0BFC">
        <w:t xml:space="preserve">pris en compte dans les </w:t>
      </w:r>
      <w:r w:rsidR="00CE6429">
        <w:t>argume</w:t>
      </w:r>
      <w:r w:rsidR="005D0BFC">
        <w:t>nta</w:t>
      </w:r>
      <w:r w:rsidR="00CE6429">
        <w:t>ires</w:t>
      </w:r>
      <w:r w:rsidR="00B127B4">
        <w:t xml:space="preserve"> (les corpus d’usage)</w:t>
      </w:r>
      <w:r w:rsidR="00CE6429">
        <w:t xml:space="preserve"> </w:t>
      </w:r>
      <w:r w:rsidR="003170D3">
        <w:t>auxquels nous sommes exposés</w:t>
      </w:r>
      <w:r w:rsidR="0082416F">
        <w:t xml:space="preserve"> et que nous répétons</w:t>
      </w:r>
      <w:r w:rsidR="00B127B4">
        <w:t>.</w:t>
      </w:r>
      <w:r w:rsidR="00CE6429">
        <w:t xml:space="preserve"> </w:t>
      </w:r>
      <w:r w:rsidR="00B127B4">
        <w:t>C</w:t>
      </w:r>
      <w:r w:rsidR="00CE6429">
        <w:t xml:space="preserve">eux qui connaissent </w:t>
      </w:r>
      <w:r w:rsidR="00B127B4">
        <w:t xml:space="preserve">ces faits </w:t>
      </w:r>
      <w:r w:rsidR="00CE6429">
        <w:t xml:space="preserve">hésitent à aller contre « la forme de vie ». Contredire ce que tout le monde dit </w:t>
      </w:r>
      <w:proofErr w:type="gramStart"/>
      <w:r w:rsidR="00CE6429">
        <w:t>peut être</w:t>
      </w:r>
      <w:proofErr w:type="gramEnd"/>
      <w:r w:rsidR="00CE6429">
        <w:t xml:space="preserve"> très dangereux, ainsi que le montr</w:t>
      </w:r>
      <w:r w:rsidR="004C577D">
        <w:t>e une</w:t>
      </w:r>
      <w:r w:rsidR="00CE6429">
        <w:t xml:space="preserve"> pratique</w:t>
      </w:r>
      <w:r w:rsidR="004C577D">
        <w:t xml:space="preserve"> actuelle, appelée </w:t>
      </w:r>
      <w:r w:rsidR="0082416F">
        <w:t xml:space="preserve">la </w:t>
      </w:r>
      <w:r w:rsidR="00CE6429">
        <w:t>« cancel culture »</w:t>
      </w:r>
      <w:r w:rsidR="004C577D">
        <w:t>,</w:t>
      </w:r>
      <w:r w:rsidR="00CE6429">
        <w:t xml:space="preserve"> qui</w:t>
      </w:r>
      <w:r w:rsidR="00B8278D">
        <w:t xml:space="preserve"> condamne </w:t>
      </w:r>
      <w:r w:rsidR="00D64F9E">
        <w:t xml:space="preserve">parfois violemment </w:t>
      </w:r>
      <w:r w:rsidR="00CE6429">
        <w:t xml:space="preserve">ceux qui vont à l’encontre </w:t>
      </w:r>
      <w:r w:rsidR="00B8278D">
        <w:t xml:space="preserve">de la doxa </w:t>
      </w:r>
      <w:r w:rsidR="0082416F">
        <w:t xml:space="preserve">étriquée </w:t>
      </w:r>
      <w:r w:rsidR="00CA303A">
        <w:t>et ignorante d</w:t>
      </w:r>
      <w:r w:rsidR="00D64F9E">
        <w:t>es réseaux sociaux</w:t>
      </w:r>
      <w:r w:rsidR="00B8278D">
        <w:t>.</w:t>
      </w:r>
      <w:r w:rsidR="00D64F9E">
        <w:t xml:space="preserve"> On ne peut aller contre la </w:t>
      </w:r>
      <w:r w:rsidR="00D64F9E" w:rsidRPr="005F5DE5">
        <w:rPr>
          <w:i/>
        </w:rPr>
        <w:t>vox populi</w:t>
      </w:r>
      <w:r w:rsidR="005F5DE5">
        <w:t xml:space="preserve"> sans risque ;</w:t>
      </w:r>
      <w:r w:rsidR="00D64F9E">
        <w:t xml:space="preserve"> c’est une loi générale, y compris dans les sciences</w:t>
      </w:r>
      <w:r w:rsidR="003170D3">
        <w:t> ; q</w:t>
      </w:r>
      <w:r w:rsidR="005F5DE5">
        <w:t>u’on se rappelle</w:t>
      </w:r>
      <w:r w:rsidR="003170D3">
        <w:t xml:space="preserve"> Galilée</w:t>
      </w:r>
      <w:r w:rsidR="00B127B4">
        <w:t xml:space="preserve"> et </w:t>
      </w:r>
      <w:r w:rsidR="003170D3">
        <w:t>Giordano</w:t>
      </w:r>
      <w:r w:rsidR="003170D3" w:rsidRPr="003170D3">
        <w:t xml:space="preserve"> </w:t>
      </w:r>
      <w:r w:rsidR="003170D3">
        <w:t>Bruno</w:t>
      </w:r>
      <w:r w:rsidR="00B127B4">
        <w:t>, et plus récemment les attaques contre le darwinisme que certains aux États-Unis ont réussi à mettre en concurrence avec des thèse</w:t>
      </w:r>
      <w:r w:rsidR="00EB76D8">
        <w:t xml:space="preserve">s </w:t>
      </w:r>
      <w:r w:rsidR="00B127B4">
        <w:t>religieuses d’a</w:t>
      </w:r>
      <w:r w:rsidR="003E7CFD">
        <w:t>llure</w:t>
      </w:r>
      <w:r w:rsidR="00B127B4">
        <w:t xml:space="preserve"> scientifique telle que l</w:t>
      </w:r>
      <w:proofErr w:type="gramStart"/>
      <w:r w:rsidR="00B127B4">
        <w:t>’«</w:t>
      </w:r>
      <w:proofErr w:type="gramEnd"/>
      <w:r w:rsidR="00B127B4">
        <w:t> intelligent design »</w:t>
      </w:r>
      <w:r w:rsidR="0082416F">
        <w:t xml:space="preserve"> ; être darwiniste dans un tel environnement est alors très risqué. </w:t>
      </w:r>
    </w:p>
    <w:p w14:paraId="5E2DA199" w14:textId="1A5ABE6C" w:rsidR="00817365" w:rsidRDefault="00D14DBE" w:rsidP="00B8278D">
      <w:pPr>
        <w:pStyle w:val="texte"/>
        <w:spacing w:before="0" w:beforeAutospacing="0" w:after="0" w:afterAutospacing="0"/>
        <w:ind w:firstLine="600"/>
        <w:jc w:val="both"/>
      </w:pPr>
      <w:r>
        <w:t xml:space="preserve">Pour </w:t>
      </w:r>
      <w:r w:rsidR="00546680">
        <w:t>Guimarães</w:t>
      </w:r>
      <w:r>
        <w:t>, l</w:t>
      </w:r>
      <w:r w:rsidR="005E7E9E">
        <w:t xml:space="preserve">es </w:t>
      </w:r>
      <w:r w:rsidR="003170D3">
        <w:t>êtres humains</w:t>
      </w:r>
      <w:r w:rsidR="005E7E9E">
        <w:t xml:space="preserve"> </w:t>
      </w:r>
      <w:r w:rsidR="008A7E8C" w:rsidRPr="003170D3">
        <w:t>« sont sujets de la langue car ils sont constitués par cet espace de langues et de locuteurs que j’appelle l’espace d’énonciation »</w:t>
      </w:r>
      <w:r w:rsidR="00B8278D" w:rsidRPr="003170D3">
        <w:t>.</w:t>
      </w:r>
      <w:r w:rsidR="00B8278D">
        <w:rPr>
          <w:b/>
        </w:rPr>
        <w:t xml:space="preserve"> </w:t>
      </w:r>
      <w:r w:rsidR="00515C58">
        <w:t>Si le sujet est déterminé par des conditions</w:t>
      </w:r>
      <w:r w:rsidR="00B8278D">
        <w:t xml:space="preserve"> historico-sociales, alors ses</w:t>
      </w:r>
      <w:r w:rsidR="00515C58">
        <w:t xml:space="preserve"> rapports avec la langue et la société sont </w:t>
      </w:r>
      <w:r w:rsidR="003170D3">
        <w:t>déterminants</w:t>
      </w:r>
      <w:r w:rsidR="00515C58">
        <w:t xml:space="preserve">, d’où l’accent mis par </w:t>
      </w:r>
      <w:r w:rsidR="00546680">
        <w:t>Guimarães</w:t>
      </w:r>
      <w:r w:rsidR="00515C58">
        <w:t xml:space="preserve"> sur l’étude de la lutte pour la parole dans un espace politique linguistique.</w:t>
      </w:r>
      <w:r w:rsidR="00B8278D">
        <w:t xml:space="preserve"> </w:t>
      </w:r>
      <w:r w:rsidR="00515C58" w:rsidRPr="003170D3">
        <w:t>La relation des locuteurs avec la langue n’est pas « em</w:t>
      </w:r>
      <w:r w:rsidR="00010489" w:rsidRPr="003170D3">
        <w:t>pirique », mais politique</w:t>
      </w:r>
      <w:r w:rsidR="00010489">
        <w:t> ; parler</w:t>
      </w:r>
      <w:r w:rsidR="00515C58">
        <w:t xml:space="preserve"> ne consiste pas à formuler des propositions factuelles sanctionnées par une valeur de vérité (comme dans l</w:t>
      </w:r>
      <w:r w:rsidR="00010489">
        <w:t>a philosophie analytique) ; la langue est un espace politique</w:t>
      </w:r>
      <w:r w:rsidR="00B8278D">
        <w:t xml:space="preserve">. </w:t>
      </w:r>
      <w:r w:rsidR="00817365">
        <w:t xml:space="preserve">Le sujet </w:t>
      </w:r>
      <w:r w:rsidR="00BA395C">
        <w:t>est</w:t>
      </w:r>
      <w:r w:rsidR="00817365">
        <w:t xml:space="preserve"> </w:t>
      </w:r>
      <w:r w:rsidR="00817365" w:rsidRPr="003170D3">
        <w:t>constitué</w:t>
      </w:r>
      <w:r w:rsidR="00817365">
        <w:t xml:space="preserve"> par l’espace d’énonciation (espace de langues et de locuteurs)</w:t>
      </w:r>
      <w:r w:rsidR="00BA395C">
        <w:t> ;</w:t>
      </w:r>
      <w:r w:rsidR="00B8278D">
        <w:t xml:space="preserve"> </w:t>
      </w:r>
      <w:r w:rsidR="00817365">
        <w:t xml:space="preserve">il fait donc partie de l’énonciation et il est alors </w:t>
      </w:r>
      <w:r w:rsidR="00817365" w:rsidRPr="003170D3">
        <w:t>une catégorie linguistique</w:t>
      </w:r>
      <w:r w:rsidR="00817365">
        <w:t>.</w:t>
      </w:r>
    </w:p>
    <w:p w14:paraId="179D5F06" w14:textId="77777777" w:rsidR="00515C58" w:rsidRDefault="00515C58" w:rsidP="006C2F1D">
      <w:pPr>
        <w:pStyle w:val="texte"/>
        <w:spacing w:before="0" w:beforeAutospacing="0" w:after="0" w:afterAutospacing="0"/>
        <w:jc w:val="both"/>
      </w:pPr>
    </w:p>
    <w:p w14:paraId="0B532700" w14:textId="77777777" w:rsidR="00FD23DC" w:rsidRPr="00236233" w:rsidRDefault="00FD23DC" w:rsidP="006C2F1D">
      <w:pPr>
        <w:pStyle w:val="texte"/>
        <w:spacing w:before="0" w:beforeAutospacing="0" w:after="0" w:afterAutospacing="0"/>
        <w:jc w:val="both"/>
        <w:rPr>
          <w:b/>
          <w:sz w:val="28"/>
          <w:szCs w:val="28"/>
        </w:rPr>
      </w:pPr>
      <w:r w:rsidRPr="00236233">
        <w:rPr>
          <w:b/>
          <w:sz w:val="28"/>
          <w:szCs w:val="28"/>
        </w:rPr>
        <w:t>Sens et espaces d’énonciation</w:t>
      </w:r>
    </w:p>
    <w:p w14:paraId="100BD8DC" w14:textId="77777777" w:rsidR="00BA395C" w:rsidRDefault="00BA395C" w:rsidP="00B10A32">
      <w:pPr>
        <w:pStyle w:val="texte"/>
        <w:spacing w:before="0" w:beforeAutospacing="0" w:after="0" w:afterAutospacing="0"/>
        <w:ind w:left="708"/>
        <w:jc w:val="both"/>
      </w:pPr>
    </w:p>
    <w:p w14:paraId="318B29B1" w14:textId="32B9BD21" w:rsidR="00BA395C" w:rsidRDefault="00BA395C" w:rsidP="00BA395C">
      <w:pPr>
        <w:pStyle w:val="texte"/>
        <w:spacing w:before="0" w:beforeAutospacing="0" w:after="0" w:afterAutospacing="0"/>
        <w:jc w:val="both"/>
      </w:pPr>
      <w:r>
        <w:t xml:space="preserve">Comment </w:t>
      </w:r>
      <w:r w:rsidR="00546680">
        <w:t>Guimarães</w:t>
      </w:r>
      <w:r>
        <w:t xml:space="preserve"> conçoit-il ces « espaces d’énonciation » et quel est leur lien avec le sens ? </w:t>
      </w:r>
    </w:p>
    <w:p w14:paraId="42CB46DD" w14:textId="77777777" w:rsidR="00BA395C" w:rsidRDefault="00BA395C" w:rsidP="00BA395C">
      <w:pPr>
        <w:pStyle w:val="texte"/>
        <w:spacing w:before="0" w:beforeAutospacing="0" w:after="0" w:afterAutospacing="0"/>
        <w:jc w:val="both"/>
      </w:pPr>
    </w:p>
    <w:p w14:paraId="0B6A64C7" w14:textId="77777777" w:rsidR="00B333F3" w:rsidRPr="007123C0" w:rsidRDefault="00B333F3" w:rsidP="007123C0">
      <w:pPr>
        <w:pStyle w:val="texte"/>
        <w:spacing w:before="0" w:beforeAutospacing="0" w:after="0" w:afterAutospacing="0"/>
        <w:ind w:left="284"/>
        <w:jc w:val="both"/>
        <w:rPr>
          <w:sz w:val="22"/>
          <w:szCs w:val="22"/>
        </w:rPr>
      </w:pPr>
      <w:r w:rsidRPr="007123C0">
        <w:rPr>
          <w:sz w:val="22"/>
          <w:szCs w:val="22"/>
        </w:rPr>
        <w:t>Les espaces d’énonciation sont des espaces « habités » par des locuteurs, c’est-à-dire par des sujets divisés par leurs droits au dire et aux manières de dire. Ce sont des espaces constitués politiquement par l’ambiguïté propre à l’événement : ceux de la déontologie qui organise et distribue les rôles, et ceux du conflit, indissociable de cette déontologie, qui redivise le sensible, les rôles sociaux</w:t>
      </w:r>
      <w:r w:rsidR="005303AD" w:rsidRPr="007123C0">
        <w:rPr>
          <w:sz w:val="22"/>
          <w:szCs w:val="22"/>
        </w:rPr>
        <w:t>.</w:t>
      </w:r>
    </w:p>
    <w:p w14:paraId="0BA8EDA1" w14:textId="77777777" w:rsidR="006C2F1D" w:rsidRPr="007123C0" w:rsidRDefault="006C2F1D" w:rsidP="007123C0">
      <w:pPr>
        <w:pStyle w:val="texte"/>
        <w:spacing w:before="0" w:beforeAutospacing="0" w:after="0" w:afterAutospacing="0"/>
        <w:ind w:left="284"/>
        <w:jc w:val="both"/>
        <w:rPr>
          <w:sz w:val="22"/>
          <w:szCs w:val="22"/>
        </w:rPr>
      </w:pPr>
    </w:p>
    <w:p w14:paraId="6AB0E9F7" w14:textId="77777777" w:rsidR="00B333F3" w:rsidRPr="007123C0" w:rsidRDefault="00B333F3" w:rsidP="007123C0">
      <w:pPr>
        <w:pStyle w:val="texte"/>
        <w:spacing w:before="0" w:beforeAutospacing="0" w:after="0" w:afterAutospacing="0"/>
        <w:ind w:left="284"/>
        <w:jc w:val="both"/>
        <w:rPr>
          <w:sz w:val="22"/>
          <w:szCs w:val="22"/>
        </w:rPr>
      </w:pPr>
      <w:r w:rsidRPr="007123C0">
        <w:rPr>
          <w:sz w:val="22"/>
          <w:szCs w:val="22"/>
        </w:rPr>
        <w:t>Afin de comprendre le social, il faut étudier comment se constitue le sens. Ne pas prendre le sens en compte revient à ne rien comprendre à l’humain. D’un autre côté, nous considérons que la compréhension de l’humain et du social a lieu dans les termes de la description que l’on peut faire de ces aspects, puisque l’introspection ne saurait faire partie des méthodes des sciences humaines.</w:t>
      </w:r>
    </w:p>
    <w:p w14:paraId="200C9694" w14:textId="77777777" w:rsidR="006C2F1D" w:rsidRPr="00E82784" w:rsidRDefault="006C2F1D" w:rsidP="006C2F1D">
      <w:pPr>
        <w:pStyle w:val="texte"/>
        <w:spacing w:before="0" w:beforeAutospacing="0" w:after="0" w:afterAutospacing="0"/>
        <w:jc w:val="both"/>
        <w:rPr>
          <w:b/>
        </w:rPr>
      </w:pPr>
    </w:p>
    <w:p w14:paraId="1DF96A2F" w14:textId="77777777" w:rsidR="00817365" w:rsidRPr="00E82784" w:rsidRDefault="00817365" w:rsidP="006C2F1D">
      <w:pPr>
        <w:pStyle w:val="texte"/>
        <w:spacing w:before="0" w:beforeAutospacing="0" w:after="0" w:afterAutospacing="0"/>
        <w:jc w:val="both"/>
        <w:rPr>
          <w:b/>
        </w:rPr>
      </w:pPr>
      <w:r w:rsidRPr="00E82784">
        <w:rPr>
          <w:b/>
        </w:rPr>
        <w:t>Commentaires</w:t>
      </w:r>
    </w:p>
    <w:p w14:paraId="046B4C51" w14:textId="77777777" w:rsidR="00DE5A8A" w:rsidRDefault="00DE5A8A" w:rsidP="00E82784">
      <w:pPr>
        <w:pStyle w:val="texte"/>
        <w:spacing w:before="0" w:beforeAutospacing="0" w:after="0" w:afterAutospacing="0"/>
        <w:ind w:firstLine="567"/>
        <w:jc w:val="both"/>
      </w:pPr>
    </w:p>
    <w:p w14:paraId="235B7E98" w14:textId="4996186C" w:rsidR="00931583" w:rsidRDefault="00817365" w:rsidP="00FF1B1E">
      <w:pPr>
        <w:pStyle w:val="texte"/>
        <w:spacing w:before="0" w:beforeAutospacing="0" w:after="0" w:afterAutospacing="0"/>
        <w:ind w:firstLine="567"/>
        <w:jc w:val="both"/>
      </w:pPr>
      <w:r w:rsidRPr="00E82784">
        <w:t>Les locuteurs « habitent » les espaces d’énonciation</w:t>
      </w:r>
      <w:r w:rsidR="00EB76D8">
        <w:t xml:space="preserve"> </w:t>
      </w:r>
      <w:r w:rsidRPr="00E82784">
        <w:t>dans lesquels ils ont des droits différents, ce qui fait que leurs relations sont conflictuelles</w:t>
      </w:r>
      <w:r w:rsidR="00E82784" w:rsidRPr="00E82784">
        <w:t xml:space="preserve"> et donc</w:t>
      </w:r>
      <w:r w:rsidRPr="00E82784">
        <w:t xml:space="preserve"> politiques.</w:t>
      </w:r>
      <w:r w:rsidR="00BA395C">
        <w:t xml:space="preserve"> Cet accent </w:t>
      </w:r>
      <w:r w:rsidR="009C6F13">
        <w:t xml:space="preserve">mis </w:t>
      </w:r>
      <w:r w:rsidR="00BA395C">
        <w:t>sur l</w:t>
      </w:r>
      <w:r w:rsidR="00CE11BF">
        <w:t>e</w:t>
      </w:r>
      <w:r w:rsidR="00BA395C">
        <w:t xml:space="preserve"> politique est caractéristique de la sémantique de </w:t>
      </w:r>
      <w:r w:rsidR="00546680">
        <w:t>Guimarães</w:t>
      </w:r>
      <w:r w:rsidR="008A3404">
        <w:t>. I</w:t>
      </w:r>
      <w:r w:rsidR="00CE11BF">
        <w:t xml:space="preserve">l </w:t>
      </w:r>
      <w:r w:rsidR="008A3404">
        <w:t xml:space="preserve">est dans la lignée </w:t>
      </w:r>
      <w:r w:rsidR="00CE11BF">
        <w:t xml:space="preserve">d’une tradition très ancienne en Amérique du Sud, un continent qui a souvent été le lieu de conflits sociaux très violents portés par des groupes qui se réfèrent à des idéologies de droite et de </w:t>
      </w:r>
      <w:r w:rsidR="00CE11BF">
        <w:lastRenderedPageBreak/>
        <w:t xml:space="preserve">gauche extrêmement marquées. Les universitaires ont souvent défendu des idées de gauche, et c’est le cas de </w:t>
      </w:r>
      <w:r w:rsidR="00546680">
        <w:t>Guimarães</w:t>
      </w:r>
      <w:r w:rsidR="00CE11BF">
        <w:t xml:space="preserve">. </w:t>
      </w:r>
    </w:p>
    <w:p w14:paraId="0CB7D631" w14:textId="29D314F4" w:rsidR="004F62E7" w:rsidRDefault="00817365" w:rsidP="00FB43BE">
      <w:pPr>
        <w:pStyle w:val="texte"/>
        <w:spacing w:before="0" w:beforeAutospacing="0" w:after="0" w:afterAutospacing="0"/>
        <w:ind w:firstLine="567"/>
        <w:jc w:val="both"/>
      </w:pPr>
      <w:r w:rsidRPr="00E82784">
        <w:t>Pour comprendre</w:t>
      </w:r>
      <w:r w:rsidR="00931583">
        <w:t xml:space="preserve"> ces « espaces d’habitation »</w:t>
      </w:r>
      <w:r w:rsidRPr="00E82784">
        <w:t xml:space="preserve">, </w:t>
      </w:r>
      <w:r w:rsidR="00546680">
        <w:t>Guimarães</w:t>
      </w:r>
      <w:r w:rsidR="004C162D">
        <w:t xml:space="preserve"> nous dit </w:t>
      </w:r>
      <w:r w:rsidR="008F3EB3">
        <w:t>qu’</w:t>
      </w:r>
      <w:r w:rsidRPr="00E82784">
        <w:t xml:space="preserve">il faut observer le sens </w:t>
      </w:r>
      <w:r w:rsidR="004F62E7" w:rsidRPr="00E82784">
        <w:t>et le décrire à travers ses formes</w:t>
      </w:r>
      <w:r w:rsidR="00E82784">
        <w:t xml:space="preserve">. </w:t>
      </w:r>
      <w:r w:rsidR="00931583">
        <w:t xml:space="preserve">L’accent est ainsi mis sur l’observation et la description, et non sur la correspondance avec une théorie </w:t>
      </w:r>
      <w:r w:rsidR="00FB43BE">
        <w:t>c</w:t>
      </w:r>
      <w:r w:rsidR="00931583">
        <w:t xml:space="preserve">ensée expliquer la langue. </w:t>
      </w:r>
      <w:r w:rsidR="00546680">
        <w:t>Guimarães</w:t>
      </w:r>
      <w:r w:rsidR="00E82784">
        <w:t xml:space="preserve"> rejette d’emblée l’introspection comme méthode de recherche</w:t>
      </w:r>
      <w:r w:rsidR="00DE5A8A">
        <w:t>.</w:t>
      </w:r>
      <w:r w:rsidR="00E82784">
        <w:t xml:space="preserve"> Le cerveau est bien le lieu </w:t>
      </w:r>
      <w:r w:rsidR="009C6F13">
        <w:t xml:space="preserve">biologique </w:t>
      </w:r>
      <w:r w:rsidR="00E82784">
        <w:t>du langage et de la pensée</w:t>
      </w:r>
      <w:r w:rsidR="008F3EB3">
        <w:t xml:space="preserve"> mais o</w:t>
      </w:r>
      <w:r w:rsidR="00DE5A8A">
        <w:t>n n’y a pas accès par l’observation de soi</w:t>
      </w:r>
      <w:r w:rsidR="004D0D34">
        <w:t>.</w:t>
      </w:r>
    </w:p>
    <w:p w14:paraId="0461B968" w14:textId="77777777" w:rsidR="00FB43BE" w:rsidRPr="00E82784" w:rsidRDefault="00FB43BE" w:rsidP="00FB43BE">
      <w:pPr>
        <w:pStyle w:val="texte"/>
        <w:spacing w:before="0" w:beforeAutospacing="0" w:after="0" w:afterAutospacing="0"/>
        <w:ind w:firstLine="567"/>
        <w:jc w:val="both"/>
        <w:rPr>
          <w:sz w:val="28"/>
          <w:szCs w:val="28"/>
        </w:rPr>
      </w:pPr>
    </w:p>
    <w:p w14:paraId="03A0D1BF" w14:textId="520BA772" w:rsidR="00FD23DC" w:rsidRPr="00FD23DC" w:rsidRDefault="00355B44" w:rsidP="006C2F1D">
      <w:pPr>
        <w:pStyle w:val="texte"/>
        <w:spacing w:before="0" w:beforeAutospacing="0" w:after="0" w:afterAutospacing="0"/>
        <w:jc w:val="both"/>
        <w:rPr>
          <w:b/>
          <w:sz w:val="28"/>
          <w:szCs w:val="28"/>
        </w:rPr>
      </w:pPr>
      <w:r>
        <w:rPr>
          <w:b/>
          <w:sz w:val="28"/>
          <w:szCs w:val="28"/>
        </w:rPr>
        <w:t>É</w:t>
      </w:r>
      <w:r w:rsidR="00FD23DC">
        <w:rPr>
          <w:b/>
          <w:sz w:val="28"/>
          <w:szCs w:val="28"/>
        </w:rPr>
        <w:t xml:space="preserve">noncé </w:t>
      </w:r>
      <w:r w:rsidR="00FD23DC" w:rsidRPr="004D0D34">
        <w:rPr>
          <w:b/>
          <w:i/>
          <w:sz w:val="28"/>
          <w:szCs w:val="28"/>
        </w:rPr>
        <w:t>vs</w:t>
      </w:r>
      <w:r w:rsidR="00FD23DC">
        <w:rPr>
          <w:b/>
          <w:sz w:val="28"/>
          <w:szCs w:val="28"/>
        </w:rPr>
        <w:t xml:space="preserve"> texte</w:t>
      </w:r>
    </w:p>
    <w:p w14:paraId="4B9B4BDA" w14:textId="77777777" w:rsidR="006C2F1D" w:rsidRDefault="006C2F1D" w:rsidP="006C2F1D">
      <w:pPr>
        <w:pStyle w:val="texte"/>
        <w:spacing w:before="0" w:beforeAutospacing="0" w:after="0" w:afterAutospacing="0"/>
        <w:jc w:val="both"/>
      </w:pPr>
    </w:p>
    <w:p w14:paraId="1FB9BE44" w14:textId="5886620B" w:rsidR="00755BC3" w:rsidRDefault="00546680" w:rsidP="006C2F1D">
      <w:pPr>
        <w:pStyle w:val="texte"/>
        <w:spacing w:before="0" w:beforeAutospacing="0" w:after="0" w:afterAutospacing="0"/>
        <w:jc w:val="both"/>
      </w:pPr>
      <w:r>
        <w:t>Guimarães</w:t>
      </w:r>
      <w:r w:rsidR="00755BC3">
        <w:t xml:space="preserve"> fait une intéressante distinction entre l’énoncé et le texte</w:t>
      </w:r>
      <w:r w:rsidR="00CB318B">
        <w:t> :</w:t>
      </w:r>
    </w:p>
    <w:p w14:paraId="33C508E7" w14:textId="77777777" w:rsidR="00755BC3" w:rsidRDefault="00755BC3" w:rsidP="006C2F1D">
      <w:pPr>
        <w:pStyle w:val="texte"/>
        <w:spacing w:before="0" w:beforeAutospacing="0" w:after="0" w:afterAutospacing="0"/>
        <w:jc w:val="both"/>
      </w:pPr>
    </w:p>
    <w:p w14:paraId="28F3435C" w14:textId="77777777" w:rsidR="00B333F3" w:rsidRPr="007123C0" w:rsidRDefault="00B333F3" w:rsidP="007123C0">
      <w:pPr>
        <w:pStyle w:val="texte"/>
        <w:spacing w:before="0" w:beforeAutospacing="0" w:after="0" w:afterAutospacing="0"/>
        <w:ind w:left="284"/>
        <w:jc w:val="both"/>
        <w:rPr>
          <w:sz w:val="22"/>
          <w:szCs w:val="22"/>
        </w:rPr>
      </w:pPr>
      <w:r w:rsidRPr="007123C0">
        <w:rPr>
          <w:sz w:val="22"/>
          <w:szCs w:val="22"/>
        </w:rPr>
        <w:t>Pour notre procédure de description, je prends les énoncés comme unité d’analyse. Afin d’analyser le sens des expressions linguistiques dans les énoncés, j’utilise ce que Benveniste (1966) a considéré comme le mouvement intégratif d’une unité linguistique. D’après lui, cette relation (intégrative) donne le sens de l’unité. C’est-à-dire que le sens d’un élément linguistique est en relation avec la manière dont cet élément fait partie d’une unité plus grande ou plus ample. En revanche, la division d’une unité en ses éléments constitutifs concerne sa forme.</w:t>
      </w:r>
    </w:p>
    <w:p w14:paraId="176BF82A" w14:textId="77777777" w:rsidR="006C2F1D" w:rsidRPr="007123C0" w:rsidRDefault="006C2F1D" w:rsidP="007123C0">
      <w:pPr>
        <w:pStyle w:val="texte"/>
        <w:spacing w:before="0" w:beforeAutospacing="0" w:after="0" w:afterAutospacing="0"/>
        <w:ind w:left="284"/>
        <w:jc w:val="both"/>
        <w:rPr>
          <w:sz w:val="22"/>
          <w:szCs w:val="22"/>
        </w:rPr>
      </w:pPr>
    </w:p>
    <w:p w14:paraId="241C31A3" w14:textId="77777777" w:rsidR="00B333F3" w:rsidRPr="007123C0" w:rsidRDefault="00B333F3" w:rsidP="007123C0">
      <w:pPr>
        <w:pStyle w:val="texte"/>
        <w:spacing w:before="0" w:beforeAutospacing="0" w:after="0" w:afterAutospacing="0"/>
        <w:ind w:left="284"/>
        <w:jc w:val="both"/>
        <w:rPr>
          <w:sz w:val="22"/>
          <w:szCs w:val="22"/>
        </w:rPr>
      </w:pPr>
      <w:r w:rsidRPr="007123C0">
        <w:rPr>
          <w:sz w:val="22"/>
          <w:szCs w:val="22"/>
        </w:rPr>
        <w:t>Selon moi, cette relation d’intégration d’une expression dans un énoncé ne peut être analysée que si l’on considère que cet énoncé est énoncé en un texte. Ainsi, quand j’ai recours à la relation intégrative, même si Benveniste a dit qu’elle ne permettait pas de dépasser la limite de l’énoncé, je dis qu’il y a passage de l’énoncé au texte, à l’événement, lequel n’est pas segmental. Et c’est là le rapport de sens.</w:t>
      </w:r>
    </w:p>
    <w:p w14:paraId="68A8ED8A" w14:textId="77777777" w:rsidR="006C2F1D" w:rsidRDefault="006C2F1D" w:rsidP="006C2F1D">
      <w:pPr>
        <w:pStyle w:val="texte"/>
        <w:spacing w:before="0" w:beforeAutospacing="0" w:after="0" w:afterAutospacing="0"/>
        <w:jc w:val="both"/>
        <w:rPr>
          <w:b/>
        </w:rPr>
      </w:pPr>
    </w:p>
    <w:p w14:paraId="33ADB13B" w14:textId="77777777" w:rsidR="004F62E7" w:rsidRDefault="004F62E7" w:rsidP="006C2F1D">
      <w:pPr>
        <w:pStyle w:val="texte"/>
        <w:spacing w:before="0" w:beforeAutospacing="0" w:after="0" w:afterAutospacing="0"/>
        <w:jc w:val="both"/>
        <w:rPr>
          <w:b/>
        </w:rPr>
      </w:pPr>
      <w:r w:rsidRPr="004F62E7">
        <w:rPr>
          <w:b/>
        </w:rPr>
        <w:t>Commentaires</w:t>
      </w:r>
    </w:p>
    <w:p w14:paraId="29750611" w14:textId="77777777" w:rsidR="00755BC3" w:rsidRDefault="00755BC3" w:rsidP="00D466C7">
      <w:pPr>
        <w:pStyle w:val="texte"/>
        <w:spacing w:before="0" w:beforeAutospacing="0" w:after="0" w:afterAutospacing="0"/>
        <w:ind w:firstLine="567"/>
        <w:jc w:val="both"/>
      </w:pPr>
    </w:p>
    <w:p w14:paraId="097687A8" w14:textId="5199DC4D" w:rsidR="00D466C7" w:rsidRDefault="00A6548B" w:rsidP="00D466C7">
      <w:pPr>
        <w:pStyle w:val="texte"/>
        <w:spacing w:before="0" w:beforeAutospacing="0" w:after="0" w:afterAutospacing="0"/>
        <w:ind w:firstLine="567"/>
        <w:jc w:val="both"/>
      </w:pPr>
      <w:r>
        <w:t xml:space="preserve">Pour </w:t>
      </w:r>
      <w:r w:rsidR="00546680">
        <w:t>Guimarães</w:t>
      </w:r>
      <w:r>
        <w:t xml:space="preserve">, </w:t>
      </w:r>
      <w:r w:rsidR="00067861">
        <w:t xml:space="preserve">l’unité linguistique fondamentale est </w:t>
      </w:r>
      <w:r>
        <w:t>l’énoncé</w:t>
      </w:r>
      <w:r w:rsidR="00067861">
        <w:t xml:space="preserve">, lui-même constitué d’expressions linguistiques dont le sens est à comprendre en relation avec la manière dont </w:t>
      </w:r>
      <w:r w:rsidR="00967389">
        <w:t xml:space="preserve">cet élément fait partie de l’énoncé. Autrement dit, le contexte est capital et le sens des expressions n’est jamais figé ; il est lié au contexte plus général. </w:t>
      </w:r>
      <w:r w:rsidR="008F3EB3">
        <w:t>R</w:t>
      </w:r>
      <w:r w:rsidR="00967389">
        <w:t xml:space="preserve">appelons-nous que pour </w:t>
      </w:r>
      <w:r w:rsidR="00546680">
        <w:t>Guimarães</w:t>
      </w:r>
      <w:r w:rsidR="00967389">
        <w:t xml:space="preserve">, baptiser un bateau n’est pas la même </w:t>
      </w:r>
      <w:r w:rsidR="004D0D34">
        <w:t>c</w:t>
      </w:r>
      <w:r w:rsidR="00967389">
        <w:t>hose</w:t>
      </w:r>
      <w:r w:rsidR="004D0D34">
        <w:t xml:space="preserve"> </w:t>
      </w:r>
      <w:r w:rsidR="00967389">
        <w:t xml:space="preserve">que le nom du bateau inscrit sur la coque. </w:t>
      </w:r>
      <w:r w:rsidR="00200134">
        <w:t xml:space="preserve">Mais les deux choses sont bien évidemment liées. </w:t>
      </w:r>
      <w:r w:rsidR="00967389">
        <w:t xml:space="preserve">Il y a donc un passage entre l’événement de l’énonciation et </w:t>
      </w:r>
      <w:r w:rsidR="00FA2FB2">
        <w:t xml:space="preserve">son résultat, </w:t>
      </w:r>
      <w:r w:rsidR="00967389">
        <w:t xml:space="preserve">l’existence de l’énoncé, lequel est alors un texte. </w:t>
      </w:r>
    </w:p>
    <w:p w14:paraId="233EE477" w14:textId="77777777" w:rsidR="00967389" w:rsidRDefault="00967389" w:rsidP="00D466C7">
      <w:pPr>
        <w:pStyle w:val="texte"/>
        <w:spacing w:before="0" w:beforeAutospacing="0" w:after="0" w:afterAutospacing="0"/>
        <w:ind w:firstLine="567"/>
        <w:jc w:val="both"/>
        <w:rPr>
          <w:b/>
        </w:rPr>
      </w:pPr>
    </w:p>
    <w:p w14:paraId="3ECF780E" w14:textId="5F77EA49" w:rsidR="00A6548B" w:rsidRPr="00A6548B" w:rsidRDefault="00755BC3" w:rsidP="00D466C7">
      <w:pPr>
        <w:pStyle w:val="texte"/>
        <w:spacing w:before="0" w:beforeAutospacing="0" w:after="0" w:afterAutospacing="0"/>
        <w:ind w:firstLine="567"/>
        <w:jc w:val="both"/>
      </w:pPr>
      <w:r w:rsidRPr="00755BC3">
        <w:t xml:space="preserve">Comment comprendre cette </w:t>
      </w:r>
      <w:r w:rsidR="00A6548B" w:rsidRPr="00755BC3">
        <w:t xml:space="preserve">différence </w:t>
      </w:r>
      <w:r w:rsidRPr="00755BC3">
        <w:t>entre l’</w:t>
      </w:r>
      <w:r w:rsidR="00A6548B" w:rsidRPr="00755BC3">
        <w:t xml:space="preserve">énoncé </w:t>
      </w:r>
      <w:r w:rsidRPr="00755BC3">
        <w:t>et</w:t>
      </w:r>
      <w:r w:rsidR="00A6548B" w:rsidRPr="00755BC3">
        <w:t xml:space="preserve"> </w:t>
      </w:r>
      <w:r w:rsidRPr="00755BC3">
        <w:t xml:space="preserve">le </w:t>
      </w:r>
      <w:r w:rsidR="00A6548B" w:rsidRPr="00755BC3">
        <w:t xml:space="preserve">texte chez </w:t>
      </w:r>
      <w:r w:rsidR="00546680">
        <w:t>Guimarães</w:t>
      </w:r>
      <w:r w:rsidRPr="00755BC3">
        <w:t xml:space="preserve"> ? </w:t>
      </w:r>
      <w:r w:rsidR="008F3EB3">
        <w:t>L</w:t>
      </w:r>
      <w:r w:rsidR="00A6548B" w:rsidRPr="00755BC3">
        <w:t xml:space="preserve">’énoncé a lieu </w:t>
      </w:r>
      <w:r w:rsidR="00A6548B" w:rsidRPr="00755BC3">
        <w:rPr>
          <w:i/>
        </w:rPr>
        <w:t>hic et nunc</w:t>
      </w:r>
      <w:r w:rsidR="00A6548B" w:rsidRPr="00755BC3">
        <w:t xml:space="preserve"> et il est produit par un locuteur ; le texte </w:t>
      </w:r>
      <w:r w:rsidRPr="00755BC3">
        <w:t xml:space="preserve">quant à lui </w:t>
      </w:r>
      <w:r w:rsidR="00A6548B" w:rsidRPr="00755BC3">
        <w:t>est le fruit de cette énonciation désormais existant</w:t>
      </w:r>
      <w:r w:rsidRPr="00755BC3">
        <w:t>e</w:t>
      </w:r>
      <w:r w:rsidR="00A6548B" w:rsidRPr="00755BC3">
        <w:t xml:space="preserve"> au sein de l’espace historico-social, détaché du locuteur qui l’a produit, une sorte de trace de l’événement énonciatif qui vient</w:t>
      </w:r>
      <w:r w:rsidR="00A6548B">
        <w:t xml:space="preserve"> s’insérer dans</w:t>
      </w:r>
      <w:r w:rsidR="0083213B">
        <w:t xml:space="preserve"> la continuité de la temporalité qui constitue le sujet. Au fond, le texte est devenu un objet chargé de signification collective qui n’a plus de lien </w:t>
      </w:r>
      <w:r w:rsidR="00967389">
        <w:t xml:space="preserve">nécessaire </w:t>
      </w:r>
      <w:r w:rsidR="0083213B">
        <w:t>avec celui qui l’a énoncé.</w:t>
      </w:r>
      <w:r w:rsidR="00A6548B">
        <w:t xml:space="preserve">  </w:t>
      </w:r>
    </w:p>
    <w:p w14:paraId="383D8E39" w14:textId="77777777" w:rsidR="006C2F1D" w:rsidRDefault="006C2F1D" w:rsidP="006C2F1D">
      <w:pPr>
        <w:pStyle w:val="texte"/>
        <w:spacing w:before="0" w:beforeAutospacing="0" w:after="0" w:afterAutospacing="0"/>
        <w:jc w:val="both"/>
        <w:rPr>
          <w:b/>
          <w:sz w:val="28"/>
          <w:szCs w:val="28"/>
        </w:rPr>
      </w:pPr>
    </w:p>
    <w:p w14:paraId="2C85F215" w14:textId="77777777" w:rsidR="00DE4737" w:rsidRPr="00DE4737" w:rsidRDefault="00DE4737" w:rsidP="006C2F1D">
      <w:pPr>
        <w:pStyle w:val="texte"/>
        <w:spacing w:before="0" w:beforeAutospacing="0" w:after="0" w:afterAutospacing="0"/>
        <w:jc w:val="both"/>
        <w:rPr>
          <w:b/>
          <w:sz w:val="28"/>
          <w:szCs w:val="28"/>
        </w:rPr>
      </w:pPr>
      <w:r w:rsidRPr="00DE4737">
        <w:rPr>
          <w:b/>
          <w:sz w:val="28"/>
          <w:szCs w:val="28"/>
        </w:rPr>
        <w:t>Deux exemples</w:t>
      </w:r>
    </w:p>
    <w:p w14:paraId="29A4CD26" w14:textId="77777777" w:rsidR="006C2F1D" w:rsidRDefault="006C2F1D" w:rsidP="006C2F1D">
      <w:pPr>
        <w:pStyle w:val="texte"/>
        <w:spacing w:before="0" w:beforeAutospacing="0" w:after="0" w:afterAutospacing="0"/>
        <w:jc w:val="both"/>
      </w:pPr>
    </w:p>
    <w:p w14:paraId="325EE327" w14:textId="4CC39E43" w:rsidR="00AF6299" w:rsidRDefault="00AF6299" w:rsidP="00532D68">
      <w:pPr>
        <w:pStyle w:val="texte"/>
        <w:spacing w:before="0" w:beforeAutospacing="0" w:after="0" w:afterAutospacing="0"/>
        <w:jc w:val="both"/>
      </w:pPr>
      <w:r>
        <w:t xml:space="preserve">Pour illustrer certaines des remarques faites au début de son texte, </w:t>
      </w:r>
      <w:r w:rsidR="00546680">
        <w:t>Guimarães</w:t>
      </w:r>
      <w:r>
        <w:t xml:space="preserve"> procède</w:t>
      </w:r>
      <w:r w:rsidR="00532D68">
        <w:t xml:space="preserve"> </w:t>
      </w:r>
      <w:r>
        <w:t xml:space="preserve">à l’analyse de deux exemples. </w:t>
      </w:r>
      <w:r w:rsidR="00532D68">
        <w:t xml:space="preserve">Pour que le lecteur comprenne bien le travail de </w:t>
      </w:r>
      <w:r w:rsidR="00546680">
        <w:t>Guimarães</w:t>
      </w:r>
      <w:r w:rsidR="00532D68">
        <w:t xml:space="preserve">, je recopie son texte presque </w:t>
      </w:r>
      <w:r w:rsidR="00532D68" w:rsidRPr="00532D68">
        <w:rPr>
          <w:i/>
        </w:rPr>
        <w:t>in extenso</w:t>
      </w:r>
      <w:r w:rsidR="00532D68">
        <w:t>.</w:t>
      </w:r>
    </w:p>
    <w:p w14:paraId="7D3D196B" w14:textId="77777777" w:rsidR="00532D68" w:rsidRDefault="00532D68" w:rsidP="00AF6299">
      <w:pPr>
        <w:pStyle w:val="texte"/>
        <w:spacing w:before="0" w:beforeAutospacing="0" w:after="0" w:afterAutospacing="0"/>
        <w:ind w:left="708"/>
        <w:jc w:val="both"/>
      </w:pPr>
    </w:p>
    <w:p w14:paraId="2C051E4D" w14:textId="77777777" w:rsidR="00FA32C2" w:rsidRPr="007123C0" w:rsidRDefault="00FA32C2" w:rsidP="007123C0">
      <w:pPr>
        <w:pStyle w:val="texte"/>
        <w:spacing w:before="0" w:beforeAutospacing="0" w:after="0" w:afterAutospacing="0"/>
        <w:ind w:left="284"/>
        <w:jc w:val="both"/>
        <w:rPr>
          <w:sz w:val="22"/>
          <w:szCs w:val="22"/>
        </w:rPr>
      </w:pPr>
      <w:r w:rsidRPr="007123C0">
        <w:rPr>
          <w:sz w:val="22"/>
          <w:szCs w:val="22"/>
        </w:rPr>
        <w:t xml:space="preserve">Je considère donc les noms des magasins d’une des places du centre commercial </w:t>
      </w:r>
      <w:proofErr w:type="spellStart"/>
      <w:r w:rsidRPr="007123C0">
        <w:rPr>
          <w:sz w:val="22"/>
          <w:szCs w:val="22"/>
        </w:rPr>
        <w:t>Iguatemi</w:t>
      </w:r>
      <w:proofErr w:type="spellEnd"/>
      <w:r w:rsidRPr="007123C0">
        <w:rPr>
          <w:sz w:val="22"/>
          <w:szCs w:val="22"/>
        </w:rPr>
        <w:t xml:space="preserve"> à Campinas, Brésil. Pour analyser leur fonctionnement, je prendrai en compte un ensemble spécifique de noms :</w:t>
      </w:r>
    </w:p>
    <w:p w14:paraId="5B683056" w14:textId="77777777" w:rsidR="00FA32C2" w:rsidRPr="007123C0" w:rsidRDefault="00FA32C2" w:rsidP="007123C0">
      <w:pPr>
        <w:pStyle w:val="citation"/>
        <w:spacing w:before="0" w:beforeAutospacing="0" w:after="0" w:afterAutospacing="0"/>
        <w:ind w:left="284"/>
        <w:rPr>
          <w:sz w:val="22"/>
          <w:szCs w:val="22"/>
        </w:rPr>
      </w:pPr>
      <w:r w:rsidRPr="007123C0">
        <w:rPr>
          <w:sz w:val="22"/>
          <w:szCs w:val="22"/>
        </w:rPr>
        <w:lastRenderedPageBreak/>
        <w:t xml:space="preserve">– Ringo II </w:t>
      </w:r>
      <w:proofErr w:type="spellStart"/>
      <w:r w:rsidRPr="007123C0">
        <w:rPr>
          <w:sz w:val="22"/>
          <w:szCs w:val="22"/>
        </w:rPr>
        <w:t>Cabelos</w:t>
      </w:r>
      <w:proofErr w:type="spellEnd"/>
      <w:r w:rsidRPr="007123C0">
        <w:rPr>
          <w:sz w:val="22"/>
          <w:szCs w:val="22"/>
        </w:rPr>
        <w:t xml:space="preserve"> (Ringo II Cheveux [Salon de coiffure])</w:t>
      </w:r>
      <w:r w:rsidRPr="007123C0">
        <w:rPr>
          <w:sz w:val="22"/>
          <w:szCs w:val="22"/>
        </w:rPr>
        <w:br/>
        <w:t>– </w:t>
      </w:r>
      <w:proofErr w:type="spellStart"/>
      <w:r w:rsidRPr="007123C0">
        <w:rPr>
          <w:sz w:val="22"/>
          <w:szCs w:val="22"/>
        </w:rPr>
        <w:t>Líder</w:t>
      </w:r>
      <w:proofErr w:type="spellEnd"/>
      <w:r w:rsidRPr="007123C0">
        <w:rPr>
          <w:sz w:val="22"/>
          <w:szCs w:val="22"/>
        </w:rPr>
        <w:t xml:space="preserve"> (Leader [Électroménager])</w:t>
      </w:r>
      <w:r w:rsidRPr="007123C0">
        <w:rPr>
          <w:sz w:val="22"/>
          <w:szCs w:val="22"/>
        </w:rPr>
        <w:br/>
        <w:t>– </w:t>
      </w:r>
      <w:proofErr w:type="spellStart"/>
      <w:r w:rsidRPr="007123C0">
        <w:rPr>
          <w:sz w:val="22"/>
          <w:szCs w:val="22"/>
        </w:rPr>
        <w:t>Creazioni</w:t>
      </w:r>
      <w:proofErr w:type="spellEnd"/>
      <w:r w:rsidRPr="007123C0">
        <w:rPr>
          <w:sz w:val="22"/>
          <w:szCs w:val="22"/>
        </w:rPr>
        <w:t xml:space="preserve"> D’</w:t>
      </w:r>
      <w:proofErr w:type="spellStart"/>
      <w:r w:rsidRPr="007123C0">
        <w:rPr>
          <w:sz w:val="22"/>
          <w:szCs w:val="22"/>
        </w:rPr>
        <w:t>Ascenzi</w:t>
      </w:r>
      <w:proofErr w:type="spellEnd"/>
      <w:r w:rsidRPr="007123C0">
        <w:rPr>
          <w:sz w:val="22"/>
          <w:szCs w:val="22"/>
        </w:rPr>
        <w:t xml:space="preserve"> (Créations D’</w:t>
      </w:r>
      <w:proofErr w:type="spellStart"/>
      <w:r w:rsidRPr="007123C0">
        <w:rPr>
          <w:sz w:val="22"/>
          <w:szCs w:val="22"/>
        </w:rPr>
        <w:t>Ascenzi</w:t>
      </w:r>
      <w:proofErr w:type="spellEnd"/>
      <w:r w:rsidRPr="007123C0">
        <w:rPr>
          <w:sz w:val="22"/>
          <w:szCs w:val="22"/>
        </w:rPr>
        <w:t xml:space="preserve"> [Chaussures et sacs à main])</w:t>
      </w:r>
      <w:r w:rsidRPr="007123C0">
        <w:rPr>
          <w:sz w:val="22"/>
          <w:szCs w:val="22"/>
        </w:rPr>
        <w:br/>
        <w:t>– </w:t>
      </w:r>
      <w:proofErr w:type="spellStart"/>
      <w:r w:rsidRPr="007123C0">
        <w:rPr>
          <w:sz w:val="22"/>
          <w:szCs w:val="22"/>
        </w:rPr>
        <w:t>Arapuã</w:t>
      </w:r>
      <w:proofErr w:type="spellEnd"/>
      <w:r w:rsidRPr="007123C0">
        <w:rPr>
          <w:sz w:val="22"/>
          <w:szCs w:val="22"/>
        </w:rPr>
        <w:t xml:space="preserve"> Shopping [Électroménager]</w:t>
      </w:r>
      <w:r w:rsidRPr="007123C0">
        <w:rPr>
          <w:sz w:val="22"/>
          <w:szCs w:val="22"/>
        </w:rPr>
        <w:br/>
        <w:t>– </w:t>
      </w:r>
      <w:proofErr w:type="spellStart"/>
      <w:r w:rsidRPr="007123C0">
        <w:rPr>
          <w:sz w:val="22"/>
          <w:szCs w:val="22"/>
        </w:rPr>
        <w:t>Papel</w:t>
      </w:r>
      <w:proofErr w:type="spellEnd"/>
      <w:r w:rsidRPr="007123C0">
        <w:rPr>
          <w:sz w:val="22"/>
          <w:szCs w:val="22"/>
        </w:rPr>
        <w:t xml:space="preserve"> </w:t>
      </w:r>
      <w:proofErr w:type="spellStart"/>
      <w:r w:rsidRPr="007123C0">
        <w:rPr>
          <w:sz w:val="22"/>
          <w:szCs w:val="22"/>
        </w:rPr>
        <w:t>Magia</w:t>
      </w:r>
      <w:proofErr w:type="spellEnd"/>
      <w:r w:rsidRPr="007123C0">
        <w:rPr>
          <w:sz w:val="22"/>
          <w:szCs w:val="22"/>
        </w:rPr>
        <w:t xml:space="preserve"> / </w:t>
      </w:r>
      <w:proofErr w:type="spellStart"/>
      <w:r w:rsidRPr="007123C0">
        <w:rPr>
          <w:sz w:val="22"/>
          <w:szCs w:val="22"/>
        </w:rPr>
        <w:t>Papelaria</w:t>
      </w:r>
      <w:proofErr w:type="spellEnd"/>
      <w:r w:rsidRPr="007123C0">
        <w:rPr>
          <w:sz w:val="22"/>
          <w:szCs w:val="22"/>
        </w:rPr>
        <w:t xml:space="preserve"> &amp; </w:t>
      </w:r>
      <w:proofErr w:type="spellStart"/>
      <w:r w:rsidRPr="007123C0">
        <w:rPr>
          <w:sz w:val="22"/>
          <w:szCs w:val="22"/>
        </w:rPr>
        <w:t>Informática</w:t>
      </w:r>
      <w:proofErr w:type="spellEnd"/>
      <w:r w:rsidRPr="007123C0">
        <w:rPr>
          <w:sz w:val="22"/>
          <w:szCs w:val="22"/>
        </w:rPr>
        <w:t xml:space="preserve"> [Papier Magie / Papeterie &amp; Informatique]</w:t>
      </w:r>
      <w:r w:rsidRPr="007123C0">
        <w:rPr>
          <w:sz w:val="22"/>
          <w:szCs w:val="22"/>
        </w:rPr>
        <w:br/>
      </w:r>
      <w:r w:rsidRPr="007123C0">
        <w:rPr>
          <w:b/>
          <w:sz w:val="22"/>
          <w:szCs w:val="22"/>
        </w:rPr>
        <w:t>– COMM</w:t>
      </w:r>
      <w:r w:rsidRPr="007123C0">
        <w:rPr>
          <w:rStyle w:val="Accentuation"/>
          <w:b/>
          <w:sz w:val="22"/>
          <w:szCs w:val="22"/>
        </w:rPr>
        <w:t>CENTER</w:t>
      </w:r>
      <w:r w:rsidRPr="007123C0">
        <w:rPr>
          <w:b/>
          <w:sz w:val="22"/>
          <w:szCs w:val="22"/>
        </w:rPr>
        <w:t xml:space="preserve"> [Appareils de télécommunication]</w:t>
      </w:r>
      <w:r w:rsidRPr="007123C0">
        <w:rPr>
          <w:b/>
          <w:sz w:val="22"/>
          <w:szCs w:val="22"/>
        </w:rPr>
        <w:br/>
        <w:t>– TOK &amp; STOK [Meubles en bois]</w:t>
      </w:r>
      <w:r w:rsidRPr="007123C0">
        <w:rPr>
          <w:b/>
          <w:sz w:val="22"/>
          <w:szCs w:val="22"/>
        </w:rPr>
        <w:br/>
      </w:r>
      <w:r w:rsidRPr="007123C0">
        <w:rPr>
          <w:sz w:val="22"/>
          <w:szCs w:val="22"/>
        </w:rPr>
        <w:t>– </w:t>
      </w:r>
      <w:proofErr w:type="spellStart"/>
      <w:r w:rsidRPr="007123C0">
        <w:rPr>
          <w:sz w:val="22"/>
          <w:szCs w:val="22"/>
        </w:rPr>
        <w:t>Rovelon</w:t>
      </w:r>
      <w:proofErr w:type="spellEnd"/>
      <w:r w:rsidRPr="007123C0">
        <w:rPr>
          <w:sz w:val="22"/>
          <w:szCs w:val="22"/>
        </w:rPr>
        <w:t xml:space="preserve"> [Chaussures pour femmes]</w:t>
      </w:r>
      <w:r w:rsidRPr="007123C0">
        <w:rPr>
          <w:sz w:val="22"/>
          <w:szCs w:val="22"/>
        </w:rPr>
        <w:br/>
        <w:t>– </w:t>
      </w:r>
      <w:proofErr w:type="spellStart"/>
      <w:r w:rsidRPr="007123C0">
        <w:rPr>
          <w:sz w:val="22"/>
          <w:szCs w:val="22"/>
        </w:rPr>
        <w:t>Telesp</w:t>
      </w:r>
      <w:proofErr w:type="spellEnd"/>
      <w:r w:rsidRPr="007123C0">
        <w:rPr>
          <w:sz w:val="22"/>
          <w:szCs w:val="22"/>
        </w:rPr>
        <w:t xml:space="preserve"> </w:t>
      </w:r>
      <w:proofErr w:type="spellStart"/>
      <w:r w:rsidRPr="007123C0">
        <w:rPr>
          <w:sz w:val="22"/>
          <w:szCs w:val="22"/>
        </w:rPr>
        <w:t>Celular</w:t>
      </w:r>
      <w:proofErr w:type="spellEnd"/>
      <w:r w:rsidRPr="007123C0">
        <w:rPr>
          <w:sz w:val="22"/>
          <w:szCs w:val="22"/>
        </w:rPr>
        <w:t xml:space="preserve"> [Services et vente de portables]</w:t>
      </w:r>
      <w:r w:rsidRPr="007123C0">
        <w:rPr>
          <w:sz w:val="22"/>
          <w:szCs w:val="22"/>
        </w:rPr>
        <w:br/>
        <w:t>– Colombo [Services domestiques]</w:t>
      </w:r>
      <w:r w:rsidRPr="007123C0">
        <w:rPr>
          <w:sz w:val="22"/>
          <w:szCs w:val="22"/>
        </w:rPr>
        <w:br/>
        <w:t>– Garbo [Mode masculine]</w:t>
      </w:r>
      <w:r w:rsidRPr="007123C0">
        <w:rPr>
          <w:sz w:val="22"/>
          <w:szCs w:val="22"/>
        </w:rPr>
        <w:br/>
        <w:t>– Fashion Land [Mode féminine]</w:t>
      </w:r>
      <w:r w:rsidRPr="007123C0">
        <w:rPr>
          <w:sz w:val="22"/>
          <w:szCs w:val="22"/>
        </w:rPr>
        <w:br/>
        <w:t>– Triton [Mode masculine et féminine]</w:t>
      </w:r>
      <w:r w:rsidRPr="007123C0">
        <w:rPr>
          <w:sz w:val="22"/>
          <w:szCs w:val="22"/>
        </w:rPr>
        <w:br/>
        <w:t>– </w:t>
      </w:r>
      <w:proofErr w:type="spellStart"/>
      <w:r w:rsidRPr="007123C0">
        <w:rPr>
          <w:sz w:val="22"/>
          <w:szCs w:val="22"/>
        </w:rPr>
        <w:t>Brooksfield</w:t>
      </w:r>
      <w:proofErr w:type="spellEnd"/>
      <w:r w:rsidRPr="007123C0">
        <w:rPr>
          <w:sz w:val="22"/>
          <w:szCs w:val="22"/>
        </w:rPr>
        <w:t xml:space="preserve"> [Mode enfants et adultes]</w:t>
      </w:r>
      <w:r w:rsidRPr="007123C0">
        <w:rPr>
          <w:sz w:val="22"/>
          <w:szCs w:val="22"/>
        </w:rPr>
        <w:br/>
        <w:t>– </w:t>
      </w:r>
      <w:proofErr w:type="spellStart"/>
      <w:r w:rsidRPr="007123C0">
        <w:rPr>
          <w:sz w:val="22"/>
          <w:szCs w:val="22"/>
        </w:rPr>
        <w:t>Praça</w:t>
      </w:r>
      <w:proofErr w:type="spellEnd"/>
      <w:r w:rsidRPr="007123C0">
        <w:rPr>
          <w:sz w:val="22"/>
          <w:szCs w:val="22"/>
        </w:rPr>
        <w:t xml:space="preserve"> do Café [Place du café]</w:t>
      </w:r>
      <w:r w:rsidRPr="007123C0">
        <w:rPr>
          <w:sz w:val="22"/>
          <w:szCs w:val="22"/>
        </w:rPr>
        <w:br/>
        <w:t>– </w:t>
      </w:r>
      <w:proofErr w:type="spellStart"/>
      <w:r w:rsidRPr="007123C0">
        <w:rPr>
          <w:sz w:val="22"/>
          <w:szCs w:val="22"/>
        </w:rPr>
        <w:t>Montanhês</w:t>
      </w:r>
      <w:proofErr w:type="spellEnd"/>
      <w:r w:rsidRPr="007123C0">
        <w:rPr>
          <w:sz w:val="22"/>
          <w:szCs w:val="22"/>
        </w:rPr>
        <w:t xml:space="preserve"> / O </w:t>
      </w:r>
      <w:proofErr w:type="spellStart"/>
      <w:r w:rsidRPr="007123C0">
        <w:rPr>
          <w:sz w:val="22"/>
          <w:szCs w:val="22"/>
        </w:rPr>
        <w:t>Chocolate</w:t>
      </w:r>
      <w:proofErr w:type="spellEnd"/>
      <w:r w:rsidRPr="007123C0">
        <w:rPr>
          <w:sz w:val="22"/>
          <w:szCs w:val="22"/>
        </w:rPr>
        <w:t xml:space="preserve"> de Campos de </w:t>
      </w:r>
      <w:proofErr w:type="spellStart"/>
      <w:r w:rsidRPr="007123C0">
        <w:rPr>
          <w:sz w:val="22"/>
          <w:szCs w:val="22"/>
        </w:rPr>
        <w:t>Jordão</w:t>
      </w:r>
      <w:proofErr w:type="spellEnd"/>
      <w:r w:rsidRPr="007123C0">
        <w:rPr>
          <w:sz w:val="22"/>
          <w:szCs w:val="22"/>
        </w:rPr>
        <w:t xml:space="preserve"> [Montagnard / Le chocolat de Campos do </w:t>
      </w:r>
      <w:proofErr w:type="spellStart"/>
      <w:r w:rsidRPr="007123C0">
        <w:rPr>
          <w:sz w:val="22"/>
          <w:szCs w:val="22"/>
        </w:rPr>
        <w:t>Jordão</w:t>
      </w:r>
      <w:proofErr w:type="spellEnd"/>
      <w:r w:rsidRPr="007123C0">
        <w:rPr>
          <w:sz w:val="22"/>
          <w:szCs w:val="22"/>
        </w:rPr>
        <w:t>]</w:t>
      </w:r>
      <w:r w:rsidRPr="007123C0">
        <w:rPr>
          <w:sz w:val="22"/>
          <w:szCs w:val="22"/>
        </w:rPr>
        <w:br/>
        <w:t>– </w:t>
      </w:r>
      <w:proofErr w:type="spellStart"/>
      <w:r w:rsidRPr="007123C0">
        <w:rPr>
          <w:sz w:val="22"/>
          <w:szCs w:val="22"/>
        </w:rPr>
        <w:t>Sonnil</w:t>
      </w:r>
      <w:proofErr w:type="spellEnd"/>
      <w:r w:rsidRPr="007123C0">
        <w:rPr>
          <w:sz w:val="22"/>
          <w:szCs w:val="22"/>
        </w:rPr>
        <w:t xml:space="preserve"> </w:t>
      </w:r>
      <w:proofErr w:type="spellStart"/>
      <w:r w:rsidRPr="007123C0">
        <w:rPr>
          <w:sz w:val="22"/>
          <w:szCs w:val="22"/>
        </w:rPr>
        <w:t>Bijouterias</w:t>
      </w:r>
      <w:proofErr w:type="spellEnd"/>
      <w:r w:rsidRPr="007123C0">
        <w:rPr>
          <w:sz w:val="22"/>
          <w:szCs w:val="22"/>
        </w:rPr>
        <w:t xml:space="preserve"> [Bijoux fantaisie]</w:t>
      </w:r>
      <w:r w:rsidRPr="007123C0">
        <w:rPr>
          <w:sz w:val="22"/>
          <w:szCs w:val="22"/>
        </w:rPr>
        <w:br/>
        <w:t xml:space="preserve">– Croûton / </w:t>
      </w:r>
      <w:proofErr w:type="spellStart"/>
      <w:r w:rsidRPr="007123C0">
        <w:rPr>
          <w:sz w:val="22"/>
          <w:szCs w:val="22"/>
        </w:rPr>
        <w:t>Sanduíches</w:t>
      </w:r>
      <w:proofErr w:type="spellEnd"/>
      <w:r w:rsidRPr="007123C0">
        <w:rPr>
          <w:sz w:val="22"/>
          <w:szCs w:val="22"/>
        </w:rPr>
        <w:t xml:space="preserve"> e Saladas [Sandwichs et salades]</w:t>
      </w:r>
    </w:p>
    <w:p w14:paraId="47132E34" w14:textId="77777777" w:rsidR="006C2F1D" w:rsidRDefault="006C2F1D" w:rsidP="00AF6299">
      <w:pPr>
        <w:pStyle w:val="texte"/>
        <w:spacing w:before="0" w:beforeAutospacing="0" w:after="0" w:afterAutospacing="0"/>
        <w:ind w:left="708"/>
        <w:jc w:val="both"/>
      </w:pPr>
    </w:p>
    <w:p w14:paraId="45E06E5C" w14:textId="77777777" w:rsidR="00FA32C2" w:rsidRPr="007123C0" w:rsidRDefault="00FA32C2" w:rsidP="007123C0">
      <w:pPr>
        <w:pStyle w:val="texte"/>
        <w:spacing w:before="0" w:beforeAutospacing="0" w:after="0" w:afterAutospacing="0"/>
        <w:ind w:left="284"/>
        <w:jc w:val="both"/>
        <w:rPr>
          <w:sz w:val="22"/>
          <w:szCs w:val="22"/>
        </w:rPr>
      </w:pPr>
      <w:r w:rsidRPr="007123C0">
        <w:rPr>
          <w:sz w:val="22"/>
          <w:szCs w:val="22"/>
        </w:rPr>
        <w:t>Prenons ici le cas de noms comme COMM</w:t>
      </w:r>
      <w:r w:rsidRPr="007123C0">
        <w:rPr>
          <w:rStyle w:val="Accentuation"/>
          <w:sz w:val="22"/>
          <w:szCs w:val="22"/>
        </w:rPr>
        <w:t>CENTER</w:t>
      </w:r>
      <w:r w:rsidRPr="007123C0">
        <w:rPr>
          <w:sz w:val="22"/>
          <w:szCs w:val="22"/>
        </w:rPr>
        <w:t xml:space="preserve"> et TOK &amp; STOK de la liste considérée. Le fait qu’ils recherchent une lecture à distance, capable d’aider à trouver le magasin dans l’espace du centre commercial influe non seulement sur la taille (corps) des lettres, mais également sur une certaine manière d’inscrire et d’écrire – on pourrait dire </w:t>
      </w:r>
      <w:r w:rsidRPr="007123C0">
        <w:rPr>
          <w:rStyle w:val="Accentuation"/>
          <w:sz w:val="22"/>
          <w:szCs w:val="22"/>
        </w:rPr>
        <w:t>dessiner</w:t>
      </w:r>
      <w:r w:rsidRPr="007123C0">
        <w:rPr>
          <w:sz w:val="22"/>
          <w:szCs w:val="22"/>
        </w:rPr>
        <w:t> – ces noms.</w:t>
      </w:r>
    </w:p>
    <w:p w14:paraId="4DF6A7B9" w14:textId="77777777" w:rsidR="006C2F1D" w:rsidRPr="007123C0" w:rsidRDefault="006C2F1D" w:rsidP="007123C0">
      <w:pPr>
        <w:pStyle w:val="texte"/>
        <w:spacing w:before="0" w:beforeAutospacing="0" w:after="0" w:afterAutospacing="0"/>
        <w:ind w:left="284"/>
        <w:jc w:val="both"/>
        <w:rPr>
          <w:sz w:val="22"/>
          <w:szCs w:val="22"/>
        </w:rPr>
      </w:pPr>
    </w:p>
    <w:p w14:paraId="0A8D380E" w14:textId="77777777" w:rsidR="00FD23DC" w:rsidRPr="007123C0" w:rsidRDefault="00FA32C2" w:rsidP="007123C0">
      <w:pPr>
        <w:pStyle w:val="texte"/>
        <w:spacing w:before="0" w:beforeAutospacing="0" w:after="0" w:afterAutospacing="0"/>
        <w:ind w:left="284"/>
        <w:jc w:val="both"/>
        <w:rPr>
          <w:sz w:val="22"/>
          <w:szCs w:val="22"/>
        </w:rPr>
      </w:pPr>
      <w:r w:rsidRPr="007123C0">
        <w:rPr>
          <w:sz w:val="22"/>
          <w:szCs w:val="22"/>
        </w:rPr>
        <w:t>Commençons par le cas de COMM</w:t>
      </w:r>
      <w:r w:rsidRPr="007123C0">
        <w:rPr>
          <w:rStyle w:val="Accentuation"/>
          <w:sz w:val="22"/>
          <w:szCs w:val="22"/>
        </w:rPr>
        <w:t>CENTER</w:t>
      </w:r>
      <w:r w:rsidRPr="007123C0">
        <w:rPr>
          <w:sz w:val="22"/>
          <w:szCs w:val="22"/>
        </w:rPr>
        <w:t xml:space="preserve">. Ce nom est dans un énoncé formé seulement par lui-même mais qui se combine avec un second énoncé : une forme en rouge. Sur l’enseigne du magasin, COMM est en bleu et </w:t>
      </w:r>
      <w:r w:rsidRPr="007123C0">
        <w:rPr>
          <w:rStyle w:val="Accentuation"/>
          <w:sz w:val="22"/>
          <w:szCs w:val="22"/>
        </w:rPr>
        <w:t>CENTER</w:t>
      </w:r>
      <w:r w:rsidRPr="007123C0">
        <w:rPr>
          <w:sz w:val="22"/>
          <w:szCs w:val="22"/>
        </w:rPr>
        <w:t xml:space="preserve"> en rouge : </w:t>
      </w:r>
      <w:r w:rsidRPr="007123C0">
        <w:rPr>
          <w:color w:val="0000FF"/>
          <w:sz w:val="22"/>
          <w:szCs w:val="22"/>
        </w:rPr>
        <w:t>COMM</w:t>
      </w:r>
      <w:r w:rsidRPr="007123C0">
        <w:rPr>
          <w:rStyle w:val="Accentuation"/>
          <w:color w:val="FF0000"/>
          <w:sz w:val="22"/>
          <w:szCs w:val="22"/>
        </w:rPr>
        <w:t>CENTER</w:t>
      </w:r>
      <w:r w:rsidRPr="007123C0">
        <w:rPr>
          <w:sz w:val="22"/>
          <w:szCs w:val="22"/>
        </w:rPr>
        <w:t xml:space="preserve">, avec à gauche un logotype sphérique </w:t>
      </w:r>
    </w:p>
    <w:p w14:paraId="66AC2E60" w14:textId="77777777" w:rsidR="006C2F1D" w:rsidRPr="007123C0" w:rsidRDefault="006C2F1D" w:rsidP="007123C0">
      <w:pPr>
        <w:pStyle w:val="texte"/>
        <w:spacing w:before="0" w:beforeAutospacing="0" w:after="0" w:afterAutospacing="0"/>
        <w:ind w:left="284"/>
        <w:jc w:val="both"/>
        <w:rPr>
          <w:b/>
          <w:sz w:val="22"/>
          <w:szCs w:val="22"/>
        </w:rPr>
      </w:pPr>
    </w:p>
    <w:p w14:paraId="767C090A" w14:textId="77777777" w:rsidR="00FA32C2" w:rsidRPr="007123C0" w:rsidRDefault="00FA32C2" w:rsidP="007123C0">
      <w:pPr>
        <w:pStyle w:val="texte"/>
        <w:spacing w:before="0" w:beforeAutospacing="0" w:after="0" w:afterAutospacing="0"/>
        <w:ind w:left="284"/>
        <w:jc w:val="both"/>
        <w:rPr>
          <w:sz w:val="22"/>
          <w:szCs w:val="22"/>
        </w:rPr>
      </w:pPr>
      <w:r w:rsidRPr="007123C0">
        <w:rPr>
          <w:sz w:val="22"/>
          <w:szCs w:val="22"/>
        </w:rPr>
        <w:t>Ces deux énoncés se combinent, sur la place du centre commercial que j’analyse, avec d’autres noms de magasins pour former un texte, dans la mesure où tous sont sur les façades des magasins considérées dans leur contiguïté.</w:t>
      </w:r>
    </w:p>
    <w:p w14:paraId="0F73C19E" w14:textId="77777777" w:rsidR="006C2F1D" w:rsidRPr="007123C0" w:rsidRDefault="006C2F1D" w:rsidP="007123C0">
      <w:pPr>
        <w:pStyle w:val="texte"/>
        <w:spacing w:before="0" w:beforeAutospacing="0" w:after="0" w:afterAutospacing="0"/>
        <w:ind w:left="284"/>
        <w:jc w:val="both"/>
        <w:rPr>
          <w:sz w:val="22"/>
          <w:szCs w:val="22"/>
        </w:rPr>
      </w:pPr>
    </w:p>
    <w:p w14:paraId="66D77CF9" w14:textId="77777777" w:rsidR="00FA32C2" w:rsidRPr="007123C0" w:rsidRDefault="00FA32C2" w:rsidP="007123C0">
      <w:pPr>
        <w:pStyle w:val="texte"/>
        <w:spacing w:before="0" w:beforeAutospacing="0" w:after="0" w:afterAutospacing="0"/>
        <w:ind w:left="284"/>
        <w:jc w:val="both"/>
        <w:rPr>
          <w:sz w:val="22"/>
          <w:szCs w:val="22"/>
        </w:rPr>
      </w:pPr>
      <w:r w:rsidRPr="007123C0">
        <w:rPr>
          <w:sz w:val="22"/>
          <w:szCs w:val="22"/>
        </w:rPr>
        <w:t>Dans ce nom énoncé, COMM</w:t>
      </w:r>
      <w:r w:rsidRPr="007123C0">
        <w:rPr>
          <w:rStyle w:val="Accentuation"/>
          <w:sz w:val="22"/>
          <w:szCs w:val="22"/>
        </w:rPr>
        <w:t>CENTER</w:t>
      </w:r>
      <w:r w:rsidRPr="007123C0">
        <w:rPr>
          <w:sz w:val="22"/>
          <w:szCs w:val="22"/>
        </w:rPr>
        <w:t>, nous voyons un jeu de couleurs et d’épaisseurs de lettres et de parties du mot qui représente son propre processus de composition (COMM</w:t>
      </w:r>
      <w:r w:rsidR="00FD23DC" w:rsidRPr="007123C0">
        <w:rPr>
          <w:sz w:val="22"/>
          <w:szCs w:val="22"/>
        </w:rPr>
        <w:t xml:space="preserve"> </w:t>
      </w:r>
      <w:r w:rsidRPr="007123C0">
        <w:rPr>
          <w:sz w:val="22"/>
          <w:szCs w:val="22"/>
        </w:rPr>
        <w:t>est en</w:t>
      </w:r>
      <w:r w:rsidR="00FD23DC" w:rsidRPr="007123C0">
        <w:rPr>
          <w:sz w:val="22"/>
          <w:szCs w:val="22"/>
        </w:rPr>
        <w:t xml:space="preserve"> </w:t>
      </w:r>
      <w:r w:rsidRPr="007123C0">
        <w:rPr>
          <w:sz w:val="22"/>
          <w:szCs w:val="22"/>
        </w:rPr>
        <w:t xml:space="preserve">bleu et </w:t>
      </w:r>
      <w:r w:rsidRPr="007123C0">
        <w:rPr>
          <w:rStyle w:val="Accentuation"/>
          <w:sz w:val="22"/>
          <w:szCs w:val="22"/>
        </w:rPr>
        <w:t>CENTER</w:t>
      </w:r>
      <w:r w:rsidRPr="007123C0">
        <w:rPr>
          <w:sz w:val="22"/>
          <w:szCs w:val="22"/>
        </w:rPr>
        <w:t xml:space="preserve"> en rouge, comme le logotype à gauche du nom). Il s’agit, dans ce cas, d’un processus d’agglutination clairement marqué. Ainsi, il est intéressant d’observer ce que chacun des éléments signifie dans ce nom. Cette agglutination intègre, dans le mot composé, un mot comme </w:t>
      </w:r>
      <w:r w:rsidRPr="007123C0">
        <w:rPr>
          <w:rStyle w:val="Accentuation"/>
          <w:sz w:val="22"/>
          <w:szCs w:val="22"/>
        </w:rPr>
        <w:t>commercial</w:t>
      </w:r>
      <w:r w:rsidRPr="007123C0">
        <w:rPr>
          <w:sz w:val="22"/>
          <w:szCs w:val="22"/>
        </w:rPr>
        <w:t xml:space="preserve">, mais en même temps le mot </w:t>
      </w:r>
      <w:r w:rsidRPr="007123C0">
        <w:rPr>
          <w:rStyle w:val="Accentuation"/>
          <w:sz w:val="22"/>
          <w:szCs w:val="22"/>
        </w:rPr>
        <w:t>communication</w:t>
      </w:r>
      <w:r w:rsidRPr="007123C0">
        <w:rPr>
          <w:sz w:val="22"/>
          <w:szCs w:val="22"/>
        </w:rPr>
        <w:t xml:space="preserve">, qui s’agglutinent à </w:t>
      </w:r>
      <w:r w:rsidRPr="007123C0">
        <w:rPr>
          <w:rStyle w:val="Accentuation"/>
          <w:sz w:val="22"/>
          <w:szCs w:val="22"/>
        </w:rPr>
        <w:t>center</w:t>
      </w:r>
      <w:r w:rsidRPr="007123C0">
        <w:rPr>
          <w:sz w:val="22"/>
          <w:szCs w:val="22"/>
        </w:rPr>
        <w:t xml:space="preserve"> (centre), lesquels s’intègrent également dans </w:t>
      </w:r>
      <w:bookmarkStart w:id="7" w:name="_Hlk70590223"/>
      <w:r w:rsidRPr="007123C0">
        <w:rPr>
          <w:sz w:val="22"/>
          <w:szCs w:val="22"/>
        </w:rPr>
        <w:t>COMM</w:t>
      </w:r>
      <w:r w:rsidRPr="007123C0">
        <w:rPr>
          <w:rStyle w:val="Accentuation"/>
          <w:sz w:val="22"/>
          <w:szCs w:val="22"/>
        </w:rPr>
        <w:t>CENTER</w:t>
      </w:r>
      <w:bookmarkEnd w:id="7"/>
      <w:r w:rsidRPr="007123C0">
        <w:rPr>
          <w:sz w:val="22"/>
          <w:szCs w:val="22"/>
        </w:rPr>
        <w:t>. Ainsi, COMM</w:t>
      </w:r>
      <w:r w:rsidRPr="007123C0">
        <w:rPr>
          <w:rStyle w:val="Accentuation"/>
          <w:sz w:val="22"/>
          <w:szCs w:val="22"/>
        </w:rPr>
        <w:t>CENTER</w:t>
      </w:r>
      <w:r w:rsidRPr="007123C0">
        <w:rPr>
          <w:sz w:val="22"/>
          <w:szCs w:val="22"/>
        </w:rPr>
        <w:t xml:space="preserve"> invente son étymologie, prend un sens et signifie en tant qu’énoncé affecté par un mode spécifique d’augmentation, dans le texte disséminé sur la place du centre commercial, où se regroupent tous les noms analysés ici.</w:t>
      </w:r>
    </w:p>
    <w:p w14:paraId="73E24D99" w14:textId="2F028BD1" w:rsidR="006C2F1D" w:rsidRDefault="006C2F1D" w:rsidP="004D0D34">
      <w:pPr>
        <w:pStyle w:val="texte"/>
        <w:spacing w:before="0" w:beforeAutospacing="0" w:after="0" w:afterAutospacing="0"/>
        <w:jc w:val="both"/>
        <w:rPr>
          <w:b/>
        </w:rPr>
      </w:pPr>
    </w:p>
    <w:p w14:paraId="0FBA91F8" w14:textId="40772932" w:rsidR="004D0D34" w:rsidRPr="00AF6299" w:rsidRDefault="004D0D34" w:rsidP="004D0D34">
      <w:pPr>
        <w:pStyle w:val="texte"/>
        <w:spacing w:before="0" w:beforeAutospacing="0" w:after="0" w:afterAutospacing="0"/>
        <w:jc w:val="both"/>
        <w:rPr>
          <w:b/>
        </w:rPr>
      </w:pPr>
      <w:r>
        <w:rPr>
          <w:b/>
        </w:rPr>
        <w:t>Commentaire</w:t>
      </w:r>
      <w:r w:rsidR="00747550">
        <w:rPr>
          <w:b/>
        </w:rPr>
        <w:t>s</w:t>
      </w:r>
      <w:r>
        <w:rPr>
          <w:b/>
        </w:rPr>
        <w:t xml:space="preserve"> </w:t>
      </w:r>
      <w:r w:rsidRPr="003E7CFD">
        <w:rPr>
          <w:b/>
        </w:rPr>
        <w:t xml:space="preserve">sur </w:t>
      </w:r>
      <w:r w:rsidRPr="003E7CFD">
        <w:rPr>
          <w:b/>
          <w:i/>
        </w:rPr>
        <w:t>COMM</w:t>
      </w:r>
      <w:r w:rsidRPr="003E7CFD">
        <w:rPr>
          <w:rStyle w:val="Accentuation"/>
          <w:b/>
          <w:i w:val="0"/>
        </w:rPr>
        <w:t>CENTER</w:t>
      </w:r>
    </w:p>
    <w:p w14:paraId="265FFA04" w14:textId="77777777" w:rsidR="00FA2FB2" w:rsidRPr="00AF6299" w:rsidRDefault="00E15932" w:rsidP="008F3EB3">
      <w:pPr>
        <w:pStyle w:val="texte"/>
        <w:spacing w:before="0" w:beforeAutospacing="0" w:after="0" w:afterAutospacing="0"/>
        <w:ind w:firstLine="567"/>
        <w:jc w:val="both"/>
      </w:pPr>
      <w:r w:rsidRPr="00AF6299">
        <w:t>Le nom COMM</w:t>
      </w:r>
      <w:r w:rsidRPr="00AF6299">
        <w:rPr>
          <w:i/>
        </w:rPr>
        <w:t>CENTER</w:t>
      </w:r>
      <w:r w:rsidRPr="00AF6299">
        <w:t xml:space="preserve"> est composé de deux énoncés et forme un texte avec les autres noms de magasins proches.</w:t>
      </w:r>
      <w:r w:rsidR="00AF6299">
        <w:t xml:space="preserve"> </w:t>
      </w:r>
      <w:r w:rsidRPr="00AF6299">
        <w:t>Il invente sa propre étymologie, son propre sens.</w:t>
      </w:r>
      <w:r w:rsidR="00AF6299">
        <w:t xml:space="preserve"> </w:t>
      </w:r>
      <w:r w:rsidRPr="00AF6299">
        <w:t>Il signifie par lui-même, et aussi avec les autres noms de magasins avec lesquels il est en compétition.</w:t>
      </w:r>
      <w:r w:rsidR="008F3EB3">
        <w:t xml:space="preserve"> </w:t>
      </w:r>
      <w:r w:rsidR="00FA2FB2">
        <w:t>C’est le cas aussi du deuxième exemple.</w:t>
      </w:r>
    </w:p>
    <w:p w14:paraId="4B074465" w14:textId="77777777" w:rsidR="006C2F1D" w:rsidRPr="007123C0" w:rsidRDefault="006C2F1D" w:rsidP="007123C0">
      <w:pPr>
        <w:pStyle w:val="texte"/>
        <w:spacing w:before="0" w:beforeAutospacing="0" w:after="0" w:afterAutospacing="0"/>
        <w:ind w:left="284"/>
        <w:jc w:val="both"/>
        <w:rPr>
          <w:sz w:val="22"/>
          <w:szCs w:val="22"/>
        </w:rPr>
      </w:pPr>
    </w:p>
    <w:p w14:paraId="70D7A178" w14:textId="77777777" w:rsidR="00FA32C2" w:rsidRPr="007123C0" w:rsidRDefault="00FA32C2" w:rsidP="007123C0">
      <w:pPr>
        <w:pStyle w:val="texte"/>
        <w:spacing w:before="0" w:beforeAutospacing="0" w:after="0" w:afterAutospacing="0"/>
        <w:ind w:left="284"/>
        <w:jc w:val="both"/>
        <w:rPr>
          <w:sz w:val="22"/>
          <w:szCs w:val="22"/>
        </w:rPr>
      </w:pPr>
      <w:r w:rsidRPr="007123C0">
        <w:rPr>
          <w:sz w:val="22"/>
          <w:szCs w:val="22"/>
        </w:rPr>
        <w:t xml:space="preserve">Pour ce qui est de </w:t>
      </w:r>
      <w:bookmarkStart w:id="8" w:name="_Hlk70590251"/>
      <w:r w:rsidRPr="007123C0">
        <w:rPr>
          <w:sz w:val="22"/>
          <w:szCs w:val="22"/>
        </w:rPr>
        <w:t>TOK &amp; STOK</w:t>
      </w:r>
      <w:bookmarkEnd w:id="8"/>
      <w:r w:rsidRPr="007123C0">
        <w:rPr>
          <w:sz w:val="22"/>
          <w:szCs w:val="22"/>
        </w:rPr>
        <w:t>, nous avons une séquence constituée par une coordination. Voilà pourquoi il est intéressant d’observer ce que chacun des éléments de la composition signifie quand ils s’intègrent dans cette séquence.</w:t>
      </w:r>
    </w:p>
    <w:p w14:paraId="1B5A5D13" w14:textId="77777777" w:rsidR="006C2F1D" w:rsidRPr="007123C0" w:rsidRDefault="006C2F1D" w:rsidP="007123C0">
      <w:pPr>
        <w:pStyle w:val="texte"/>
        <w:spacing w:before="0" w:beforeAutospacing="0" w:after="0" w:afterAutospacing="0"/>
        <w:ind w:left="284"/>
        <w:jc w:val="both"/>
        <w:rPr>
          <w:sz w:val="22"/>
          <w:szCs w:val="22"/>
        </w:rPr>
      </w:pPr>
    </w:p>
    <w:p w14:paraId="74B16BB4" w14:textId="77777777" w:rsidR="00FA32C2" w:rsidRPr="007123C0" w:rsidRDefault="00FA32C2" w:rsidP="007123C0">
      <w:pPr>
        <w:pStyle w:val="texte"/>
        <w:spacing w:before="0" w:beforeAutospacing="0" w:after="0" w:afterAutospacing="0"/>
        <w:ind w:left="284"/>
        <w:jc w:val="both"/>
        <w:rPr>
          <w:sz w:val="22"/>
          <w:szCs w:val="22"/>
        </w:rPr>
      </w:pPr>
      <w:r w:rsidRPr="007123C0">
        <w:rPr>
          <w:sz w:val="22"/>
          <w:szCs w:val="22"/>
        </w:rPr>
        <w:t>Si l’on considère la manière dont chacun des éléments coordonnés s’intègre dans le nom, on retrouve une symétrie entre le premier segment TOK et le second STOK, tous deux se terminant par K. Et cette symétrie tend à suggérer la lecture à voix haute du mot et ainsi à signifier ce que l’effet onomatopéique y place : le sens du bois. D’un autre côté, l’articulateur des deux segments est l’esperluette (&amp;) propre au langage commercial, ce qui inscrit dans le nom le sens du commerce. Cela, plus l’onomatopée, signifie « commerce de meubles », qui est également signifié par l’allusion de « </w:t>
      </w:r>
      <w:proofErr w:type="spellStart"/>
      <w:r w:rsidRPr="007123C0">
        <w:rPr>
          <w:sz w:val="22"/>
          <w:szCs w:val="22"/>
        </w:rPr>
        <w:t>stok</w:t>
      </w:r>
      <w:proofErr w:type="spellEnd"/>
      <w:r w:rsidRPr="007123C0">
        <w:rPr>
          <w:sz w:val="22"/>
          <w:szCs w:val="22"/>
        </w:rPr>
        <w:t xml:space="preserve"> » au mot anglais </w:t>
      </w:r>
      <w:r w:rsidRPr="007123C0">
        <w:rPr>
          <w:rStyle w:val="Accentuation"/>
          <w:sz w:val="22"/>
          <w:szCs w:val="22"/>
        </w:rPr>
        <w:t>stock</w:t>
      </w:r>
      <w:r w:rsidRPr="007123C0">
        <w:rPr>
          <w:sz w:val="22"/>
          <w:szCs w:val="22"/>
        </w:rPr>
        <w:t>, typiquement commercial.</w:t>
      </w:r>
    </w:p>
    <w:p w14:paraId="557DD55F" w14:textId="77777777" w:rsidR="006C2F1D" w:rsidRPr="007123C0" w:rsidRDefault="006C2F1D" w:rsidP="007123C0">
      <w:pPr>
        <w:pStyle w:val="texte"/>
        <w:spacing w:before="0" w:beforeAutospacing="0" w:after="0" w:afterAutospacing="0"/>
        <w:ind w:left="284"/>
        <w:jc w:val="both"/>
        <w:rPr>
          <w:sz w:val="22"/>
          <w:szCs w:val="22"/>
        </w:rPr>
      </w:pPr>
    </w:p>
    <w:p w14:paraId="576F7673" w14:textId="77777777" w:rsidR="0030658F" w:rsidRPr="007123C0" w:rsidRDefault="0030658F" w:rsidP="007123C0">
      <w:pPr>
        <w:pStyle w:val="texte"/>
        <w:spacing w:before="0" w:beforeAutospacing="0" w:after="0" w:afterAutospacing="0"/>
        <w:ind w:left="284"/>
        <w:jc w:val="both"/>
        <w:rPr>
          <w:sz w:val="22"/>
          <w:szCs w:val="22"/>
        </w:rPr>
      </w:pPr>
      <w:r w:rsidRPr="007123C0">
        <w:rPr>
          <w:sz w:val="22"/>
          <w:szCs w:val="22"/>
        </w:rPr>
        <w:t>Pour les deux cas sur lesquels nous nous sommes arrêtés le plus longuement, nous pouvons dire que, pour COMM</w:t>
      </w:r>
      <w:r w:rsidRPr="007123C0">
        <w:rPr>
          <w:rStyle w:val="Accentuation"/>
          <w:sz w:val="22"/>
          <w:szCs w:val="22"/>
        </w:rPr>
        <w:t>CENTER</w:t>
      </w:r>
      <w:r w:rsidRPr="007123C0">
        <w:rPr>
          <w:sz w:val="22"/>
          <w:szCs w:val="22"/>
        </w:rPr>
        <w:t xml:space="preserve">, la forme graphique (mémoire chiffrée de sa dénomination) signifie une contemporanéité garante de modernité et de qualité ; que, pour TOK &amp; STOK, elle signifie la noblesse du bois et la spontanéité de l’onomatopée affectée par l’internationalité de l’allusion à </w:t>
      </w:r>
      <w:r w:rsidRPr="007123C0">
        <w:rPr>
          <w:rStyle w:val="Accentuation"/>
          <w:sz w:val="22"/>
          <w:szCs w:val="22"/>
        </w:rPr>
        <w:t>stock</w:t>
      </w:r>
      <w:r w:rsidRPr="007123C0">
        <w:rPr>
          <w:sz w:val="22"/>
          <w:szCs w:val="22"/>
        </w:rPr>
        <w:t>.</w:t>
      </w:r>
    </w:p>
    <w:p w14:paraId="6A200AEB" w14:textId="77777777" w:rsidR="006C2F1D" w:rsidRPr="007123C0" w:rsidRDefault="006C2F1D" w:rsidP="007123C0">
      <w:pPr>
        <w:pStyle w:val="texte"/>
        <w:spacing w:before="0" w:beforeAutospacing="0" w:after="0" w:afterAutospacing="0"/>
        <w:ind w:left="284"/>
        <w:jc w:val="both"/>
        <w:rPr>
          <w:sz w:val="22"/>
          <w:szCs w:val="22"/>
        </w:rPr>
      </w:pPr>
    </w:p>
    <w:p w14:paraId="6A4FBDD9" w14:textId="77777777" w:rsidR="00FA32C2" w:rsidRPr="007123C0" w:rsidRDefault="00FA32C2" w:rsidP="007123C0">
      <w:pPr>
        <w:pStyle w:val="texte"/>
        <w:spacing w:before="0" w:beforeAutospacing="0" w:after="0" w:afterAutospacing="0"/>
        <w:ind w:left="284"/>
        <w:jc w:val="both"/>
        <w:rPr>
          <w:sz w:val="22"/>
          <w:szCs w:val="22"/>
        </w:rPr>
      </w:pPr>
      <w:r w:rsidRPr="007123C0">
        <w:rPr>
          <w:sz w:val="22"/>
          <w:szCs w:val="22"/>
        </w:rPr>
        <w:t xml:space="preserve">Ces noms, en tant que marques, sont sur les magasins correspondants pour les identifier et non pas pour </w:t>
      </w:r>
      <w:r w:rsidR="00532D68" w:rsidRPr="007123C0">
        <w:rPr>
          <w:sz w:val="22"/>
          <w:szCs w:val="22"/>
        </w:rPr>
        <w:t>y</w:t>
      </w:r>
      <w:r w:rsidRPr="007123C0">
        <w:rPr>
          <w:sz w:val="22"/>
          <w:szCs w:val="22"/>
        </w:rPr>
        <w:t xml:space="preserve"> référer : pour pousser les gens à y entrer. Dans ce sens, les noms d’établissements commerciaux, en tant qu’éléments de marketing, sont des modes d’identification de « lieux » commerciaux.</w:t>
      </w:r>
    </w:p>
    <w:p w14:paraId="10331DEE" w14:textId="77777777" w:rsidR="006C2F1D" w:rsidRPr="007123C0" w:rsidRDefault="006C2F1D" w:rsidP="007123C0">
      <w:pPr>
        <w:pStyle w:val="texte"/>
        <w:spacing w:before="0" w:beforeAutospacing="0" w:after="0" w:afterAutospacing="0"/>
        <w:ind w:left="284"/>
        <w:jc w:val="both"/>
        <w:rPr>
          <w:sz w:val="22"/>
          <w:szCs w:val="22"/>
        </w:rPr>
      </w:pPr>
    </w:p>
    <w:p w14:paraId="140FDCC0" w14:textId="77777777" w:rsidR="0030658F" w:rsidRPr="007123C0" w:rsidRDefault="00FA32C2" w:rsidP="007123C0">
      <w:pPr>
        <w:pStyle w:val="texte"/>
        <w:spacing w:before="0" w:beforeAutospacing="0" w:after="0" w:afterAutospacing="0"/>
        <w:ind w:left="284"/>
        <w:jc w:val="both"/>
        <w:rPr>
          <w:sz w:val="22"/>
          <w:szCs w:val="22"/>
        </w:rPr>
      </w:pPr>
      <w:r w:rsidRPr="007123C0">
        <w:rPr>
          <w:sz w:val="22"/>
          <w:szCs w:val="22"/>
        </w:rPr>
        <w:t>La forme graphique, ainsi que tous ces modes de détermination, fait partie de ce qui fait que le nom signifie, désigne.</w:t>
      </w:r>
    </w:p>
    <w:p w14:paraId="3F946873" w14:textId="77777777" w:rsidR="00FA2FB2" w:rsidRPr="00FA2FB2" w:rsidRDefault="00FA2FB2" w:rsidP="00FA2FB2">
      <w:pPr>
        <w:pStyle w:val="texte"/>
        <w:spacing w:before="0" w:beforeAutospacing="0" w:after="0" w:afterAutospacing="0"/>
        <w:ind w:left="567"/>
        <w:jc w:val="both"/>
      </w:pPr>
    </w:p>
    <w:p w14:paraId="3B77CE2F" w14:textId="367448B1" w:rsidR="00FA2FB2" w:rsidRPr="00AF6299" w:rsidRDefault="00FA2FB2" w:rsidP="00FA2FB2">
      <w:pPr>
        <w:pStyle w:val="texte"/>
        <w:spacing w:before="0" w:beforeAutospacing="0" w:after="0" w:afterAutospacing="0"/>
        <w:jc w:val="both"/>
        <w:rPr>
          <w:b/>
        </w:rPr>
      </w:pPr>
      <w:r w:rsidRPr="00AF6299">
        <w:rPr>
          <w:b/>
        </w:rPr>
        <w:t>Commentaire</w:t>
      </w:r>
      <w:r w:rsidR="00747550">
        <w:rPr>
          <w:b/>
        </w:rPr>
        <w:t>s</w:t>
      </w:r>
      <w:r w:rsidR="004D0D34">
        <w:rPr>
          <w:b/>
        </w:rPr>
        <w:t xml:space="preserve"> sur </w:t>
      </w:r>
      <w:r w:rsidR="004D0D34" w:rsidRPr="003E7CFD">
        <w:rPr>
          <w:b/>
          <w:i/>
        </w:rPr>
        <w:t>TOK &amp; STOK</w:t>
      </w:r>
    </w:p>
    <w:p w14:paraId="7E2DA2B5" w14:textId="7F3A4507" w:rsidR="0030658F" w:rsidRPr="00FA2FB2" w:rsidRDefault="00FA2FB2" w:rsidP="001B348F">
      <w:pPr>
        <w:pStyle w:val="texte"/>
        <w:spacing w:before="0" w:beforeAutospacing="0" w:after="0" w:afterAutospacing="0"/>
        <w:ind w:firstLine="567"/>
        <w:jc w:val="both"/>
      </w:pPr>
      <w:r w:rsidRPr="00FA2FB2">
        <w:t xml:space="preserve">Le sens du nom intègre une onomatopée qui </w:t>
      </w:r>
      <w:r w:rsidR="008F3EB3">
        <w:t>rappelle</w:t>
      </w:r>
      <w:r w:rsidRPr="00FA2FB2">
        <w:t xml:space="preserve"> </w:t>
      </w:r>
      <w:r w:rsidR="008F3EB3">
        <w:t>le bruit que fait le bois quand on le frappe avec les doigts,</w:t>
      </w:r>
      <w:r w:rsidRPr="00FA2FB2">
        <w:t xml:space="preserve"> ainsi que deux signes (&amp;, stock) qui suggèrent le commerce et produisent l’idée de commerce de meubles. Le nom s’intègre au « texte » constitué par les autres noms de magasins de la place.</w:t>
      </w:r>
      <w:r>
        <w:t xml:space="preserve"> </w:t>
      </w:r>
      <w:r w:rsidR="004D0D34">
        <w:t>Il</w:t>
      </w:r>
      <w:r w:rsidR="0030658F" w:rsidRPr="00FA2FB2">
        <w:t xml:space="preserve"> identifie les magasins, il ne sert pas à les repérer (sinon on pourrait mettre « magasin de meubles » ou « magasin d’appareils de communication »)  </w:t>
      </w:r>
    </w:p>
    <w:p w14:paraId="37C7FE74" w14:textId="77777777" w:rsidR="0030658F" w:rsidRPr="00AF6299" w:rsidRDefault="0030658F" w:rsidP="006C2F1D">
      <w:pPr>
        <w:pStyle w:val="texte"/>
        <w:spacing w:before="0" w:beforeAutospacing="0" w:after="0" w:afterAutospacing="0"/>
        <w:ind w:left="360"/>
        <w:jc w:val="both"/>
      </w:pPr>
    </w:p>
    <w:p w14:paraId="0E7975FF" w14:textId="040E1D36" w:rsidR="00DE4737" w:rsidRPr="00D41EE1" w:rsidRDefault="00355B44" w:rsidP="006C2F1D">
      <w:pPr>
        <w:pStyle w:val="texte"/>
        <w:spacing w:before="0" w:beforeAutospacing="0" w:after="0" w:afterAutospacing="0"/>
        <w:jc w:val="both"/>
        <w:rPr>
          <w:b/>
          <w:sz w:val="28"/>
          <w:szCs w:val="28"/>
        </w:rPr>
      </w:pPr>
      <w:r w:rsidRPr="00D41EE1">
        <w:rPr>
          <w:b/>
          <w:sz w:val="28"/>
          <w:szCs w:val="28"/>
        </w:rPr>
        <w:t>Les relations énonciatives comme marques d’identification sociale et comme révélateurs</w:t>
      </w:r>
      <w:r w:rsidR="00824771" w:rsidRPr="00D41EE1">
        <w:rPr>
          <w:b/>
          <w:sz w:val="28"/>
          <w:szCs w:val="28"/>
        </w:rPr>
        <w:t xml:space="preserve"> </w:t>
      </w:r>
    </w:p>
    <w:p w14:paraId="64B0608C" w14:textId="1EFEA5E9" w:rsidR="006C2F1D" w:rsidRDefault="006C2F1D" w:rsidP="006C2F1D">
      <w:pPr>
        <w:pStyle w:val="texte"/>
        <w:spacing w:before="0" w:beforeAutospacing="0" w:after="0" w:afterAutospacing="0"/>
        <w:jc w:val="both"/>
      </w:pPr>
    </w:p>
    <w:p w14:paraId="2A2F98CA" w14:textId="0B665D30" w:rsidR="004D0D34" w:rsidRDefault="004D0D34" w:rsidP="004D0D34">
      <w:pPr>
        <w:pStyle w:val="texte"/>
        <w:spacing w:before="0" w:beforeAutospacing="0" w:after="0" w:afterAutospacing="0"/>
        <w:ind w:firstLine="567"/>
        <w:jc w:val="both"/>
      </w:pPr>
      <w:r>
        <w:t xml:space="preserve">Voici maintenant un passage qui montre comment </w:t>
      </w:r>
      <w:r w:rsidR="00546680">
        <w:t>Guimarães</w:t>
      </w:r>
      <w:r>
        <w:t xml:space="preserve"> conçoit </w:t>
      </w:r>
      <w:r w:rsidR="007E6335">
        <w:t>la manière dont</w:t>
      </w:r>
      <w:r>
        <w:t xml:space="preserve"> se construisent les relations énonciatives dans l’identification sociale</w:t>
      </w:r>
      <w:r w:rsidR="00CB318B">
        <w:t> :</w:t>
      </w:r>
    </w:p>
    <w:p w14:paraId="648F689C" w14:textId="77777777" w:rsidR="004D0D34" w:rsidRPr="00AF6299" w:rsidRDefault="004D0D34" w:rsidP="004D0D34">
      <w:pPr>
        <w:pStyle w:val="texte"/>
        <w:spacing w:before="0" w:beforeAutospacing="0" w:after="0" w:afterAutospacing="0"/>
        <w:ind w:firstLine="567"/>
        <w:jc w:val="both"/>
      </w:pPr>
    </w:p>
    <w:p w14:paraId="5D74BB71" w14:textId="77777777" w:rsidR="00FA32C2" w:rsidRPr="007123C0" w:rsidRDefault="00FA32C2" w:rsidP="007123C0">
      <w:pPr>
        <w:pStyle w:val="texte"/>
        <w:spacing w:before="0" w:beforeAutospacing="0" w:after="0" w:afterAutospacing="0"/>
        <w:ind w:left="284"/>
        <w:jc w:val="both"/>
        <w:rPr>
          <w:sz w:val="22"/>
          <w:szCs w:val="22"/>
        </w:rPr>
      </w:pPr>
      <w:r w:rsidRPr="007123C0">
        <w:rPr>
          <w:sz w:val="22"/>
          <w:szCs w:val="22"/>
        </w:rPr>
        <w:t xml:space="preserve">Rappelant ici ce que j’ai déjà dit (Guimarães, 2002) à propos de l’identification sociale propre au fonctionnement des noms propres de personne, d’un côté, et des noms de rues de l’autre, on peut observer qu’être pris comme consommateur dans l’énonciation de ces marques (noms) est une identification sociale de plus affectant les personnes dans le mode social de relations typiquement urbaines du monde contemporain. </w:t>
      </w:r>
    </w:p>
    <w:p w14:paraId="6247BD0F" w14:textId="77777777" w:rsidR="006C2F1D" w:rsidRPr="007123C0" w:rsidRDefault="006C2F1D" w:rsidP="007123C0">
      <w:pPr>
        <w:pStyle w:val="texte"/>
        <w:spacing w:before="0" w:beforeAutospacing="0" w:after="0" w:afterAutospacing="0"/>
        <w:ind w:left="284"/>
        <w:jc w:val="both"/>
        <w:rPr>
          <w:sz w:val="22"/>
          <w:szCs w:val="22"/>
        </w:rPr>
      </w:pPr>
    </w:p>
    <w:p w14:paraId="752CCE93" w14:textId="77777777" w:rsidR="00DE4737" w:rsidRPr="007123C0" w:rsidRDefault="00DE4737" w:rsidP="007123C0">
      <w:pPr>
        <w:pStyle w:val="texte"/>
        <w:spacing w:before="0" w:beforeAutospacing="0" w:after="0" w:afterAutospacing="0"/>
        <w:ind w:left="284"/>
        <w:jc w:val="both"/>
        <w:rPr>
          <w:sz w:val="22"/>
          <w:szCs w:val="22"/>
        </w:rPr>
      </w:pPr>
      <w:r w:rsidRPr="007123C0">
        <w:rPr>
          <w:sz w:val="22"/>
          <w:szCs w:val="22"/>
        </w:rPr>
        <w:t>Une question importante se pose. Comment comprendre le mode de relation de ces identifications énonciatives produites par les noms propres ? Pour répondre à cette question ainsi qu’à toutes celles qui en découlent, il faut avancer dans l’étude du fonctionnement des désignations dans notre société, afin de pouvoir, alors, dans une vision d’ensemble, comprendre quels sens autres se construisent dans ces processus par les relations énonciatives qu’ils mettent en jeu. Et pour savoir quels conflits spécifiques y prennent forme.</w:t>
      </w:r>
    </w:p>
    <w:p w14:paraId="52FDCD58" w14:textId="77777777" w:rsidR="006C2F1D" w:rsidRPr="00AF6299" w:rsidRDefault="006C2F1D" w:rsidP="006C2F1D">
      <w:pPr>
        <w:pStyle w:val="texte"/>
        <w:spacing w:before="0" w:beforeAutospacing="0" w:after="0" w:afterAutospacing="0"/>
        <w:jc w:val="both"/>
        <w:rPr>
          <w:b/>
        </w:rPr>
      </w:pPr>
    </w:p>
    <w:p w14:paraId="6DBB9131" w14:textId="77777777" w:rsidR="0030658F" w:rsidRPr="00AF6299" w:rsidRDefault="0030658F" w:rsidP="006C2F1D">
      <w:pPr>
        <w:pStyle w:val="texte"/>
        <w:spacing w:before="0" w:beforeAutospacing="0" w:after="0" w:afterAutospacing="0"/>
        <w:jc w:val="both"/>
        <w:rPr>
          <w:b/>
        </w:rPr>
      </w:pPr>
      <w:r w:rsidRPr="00AF6299">
        <w:rPr>
          <w:b/>
        </w:rPr>
        <w:t>Commentaires</w:t>
      </w:r>
    </w:p>
    <w:p w14:paraId="45E17F8F" w14:textId="60ED0091" w:rsidR="00B333F3" w:rsidRPr="00AF6299" w:rsidRDefault="0030658F" w:rsidP="00751514">
      <w:pPr>
        <w:pStyle w:val="texte"/>
        <w:spacing w:before="0" w:beforeAutospacing="0" w:after="0" w:afterAutospacing="0"/>
        <w:ind w:firstLine="567"/>
        <w:jc w:val="both"/>
      </w:pPr>
      <w:r w:rsidRPr="00FA2FB2">
        <w:t>Les « texte</w:t>
      </w:r>
      <w:r w:rsidR="003932EE" w:rsidRPr="00FA2FB2">
        <w:t>s » des noms de magasins font que les</w:t>
      </w:r>
      <w:r w:rsidRPr="00FA2FB2">
        <w:t xml:space="preserve"> locuteurs </w:t>
      </w:r>
      <w:r w:rsidR="003932EE" w:rsidRPr="00FA2FB2">
        <w:t>se voient attribu</w:t>
      </w:r>
      <w:r w:rsidR="00FB43BE">
        <w:t xml:space="preserve">er </w:t>
      </w:r>
      <w:r w:rsidRPr="00FA2FB2">
        <w:t>un rôle social urbain particulier, celui de consommateurs.</w:t>
      </w:r>
      <w:r w:rsidR="00532D68" w:rsidRPr="00FA2FB2">
        <w:t xml:space="preserve"> </w:t>
      </w:r>
      <w:r w:rsidRPr="00FA2FB2">
        <w:t>L’ensemble des « textes »</w:t>
      </w:r>
      <w:r w:rsidR="00445B88" w:rsidRPr="00FA2FB2">
        <w:t xml:space="preserve"> de la ville </w:t>
      </w:r>
      <w:r w:rsidR="00445B88" w:rsidRPr="00FA2FB2">
        <w:lastRenderedPageBreak/>
        <w:t>construi</w:t>
      </w:r>
      <w:r w:rsidRPr="00FA2FB2">
        <w:t xml:space="preserve">t des relations </w:t>
      </w:r>
      <w:r w:rsidR="00445B88" w:rsidRPr="00FA2FB2">
        <w:t xml:space="preserve">énonciatives identificatrices qui les enserrent et qui sont </w:t>
      </w:r>
      <w:r w:rsidR="00532D68" w:rsidRPr="00FA2FB2">
        <w:t xml:space="preserve">potentiellement </w:t>
      </w:r>
      <w:r w:rsidR="00445B88" w:rsidRPr="00FA2FB2">
        <w:t>le lieu de conflits.</w:t>
      </w:r>
    </w:p>
    <w:p w14:paraId="0E6E2F94" w14:textId="77777777" w:rsidR="00B834D3" w:rsidRDefault="00B834D3" w:rsidP="006C2F1D">
      <w:pPr>
        <w:jc w:val="both"/>
        <w:rPr>
          <w:b/>
          <w:sz w:val="28"/>
          <w:szCs w:val="28"/>
        </w:rPr>
      </w:pPr>
    </w:p>
    <w:p w14:paraId="2699BD53" w14:textId="5BF984F2" w:rsidR="00355B44" w:rsidRPr="00355B44" w:rsidRDefault="00355B44" w:rsidP="006C2F1D">
      <w:pPr>
        <w:jc w:val="both"/>
        <w:rPr>
          <w:b/>
          <w:sz w:val="28"/>
          <w:szCs w:val="28"/>
        </w:rPr>
      </w:pPr>
      <w:r w:rsidRPr="00355B44">
        <w:rPr>
          <w:b/>
          <w:sz w:val="28"/>
          <w:szCs w:val="28"/>
        </w:rPr>
        <w:t>Synthèse</w:t>
      </w:r>
      <w:r w:rsidR="00864EA9">
        <w:rPr>
          <w:b/>
          <w:sz w:val="28"/>
          <w:szCs w:val="28"/>
        </w:rPr>
        <w:t xml:space="preserve"> et remarques générales</w:t>
      </w:r>
    </w:p>
    <w:p w14:paraId="7300E128" w14:textId="3423F751" w:rsidR="005C0D15" w:rsidRDefault="00864EA9" w:rsidP="00E642D0">
      <w:pPr>
        <w:ind w:firstLine="567"/>
        <w:jc w:val="both"/>
      </w:pPr>
      <w:r>
        <w:t xml:space="preserve">La sémantique de l’événement de </w:t>
      </w:r>
      <w:r w:rsidR="00546680">
        <w:t>Guimarães</w:t>
      </w:r>
      <w:r w:rsidR="00B834D3">
        <w:t xml:space="preserve"> </w:t>
      </w:r>
      <w:r w:rsidR="00B834D3">
        <w:t>est donc bien une sémantique référentielle.</w:t>
      </w:r>
      <w:r w:rsidR="00B834D3">
        <w:t xml:space="preserve"> </w:t>
      </w:r>
      <w:r w:rsidR="00B834D3">
        <w:t xml:space="preserve">Elle en a le vocabulaire, même si elle a ses spécificités propres. Elle en a les méthodes, fondées non sur une théorie posée </w:t>
      </w:r>
      <w:r w:rsidR="00B834D3" w:rsidRPr="007126BA">
        <w:rPr>
          <w:i/>
        </w:rPr>
        <w:t>a priori</w:t>
      </w:r>
      <w:r w:rsidR="00B834D3">
        <w:t>, mais sur l’observation et la description des phénomènes linguistiques</w:t>
      </w:r>
      <w:r w:rsidR="00B834D3">
        <w:t xml:space="preserve">. </w:t>
      </w:r>
      <w:r>
        <w:t>Elle développe une c</w:t>
      </w:r>
      <w:r w:rsidR="005C0D15">
        <w:t>onception anthropologique de la langue comme milieu dans lequel vivent les hommes, au sein d’espaces socio-historiques</w:t>
      </w:r>
      <w:r>
        <w:t xml:space="preserve"> où se développe</w:t>
      </w:r>
      <w:r w:rsidR="007126BA">
        <w:t>nt</w:t>
      </w:r>
      <w:r>
        <w:t xml:space="preserve"> des </w:t>
      </w:r>
      <w:r w:rsidR="007126BA">
        <w:t>significations nouvelles à partir de significations existantes, dans une évolution permanente.</w:t>
      </w:r>
      <w:r w:rsidR="005C0D15">
        <w:t xml:space="preserve"> La langue est </w:t>
      </w:r>
      <w:r w:rsidR="007126BA">
        <w:t xml:space="preserve">certes </w:t>
      </w:r>
      <w:r w:rsidR="005C0D15">
        <w:t xml:space="preserve">le produit des cerveaux individuels </w:t>
      </w:r>
      <w:r w:rsidR="007126BA">
        <w:t>mais son lieu principal est la société où vivent les hommes</w:t>
      </w:r>
      <w:r w:rsidR="00E642D0">
        <w:t xml:space="preserve"> et qui évolue en permanence</w:t>
      </w:r>
      <w:r w:rsidR="007126BA">
        <w:t xml:space="preserve">. </w:t>
      </w:r>
      <w:r w:rsidR="00E642D0">
        <w:t xml:space="preserve">Ce qui compte c’est la temporalité et les événements qui s’y déroulent, avec leurs conséquences sur les changements historiques. </w:t>
      </w:r>
      <w:r w:rsidR="007126BA">
        <w:t xml:space="preserve">L’accent est mis sur la collectivité et les rapports sociaux et politiques en son sein. C’est peut-être là que réside l’originalité de </w:t>
      </w:r>
      <w:r w:rsidR="00546680">
        <w:t>Guimarães</w:t>
      </w:r>
      <w:r w:rsidR="007126BA">
        <w:t xml:space="preserve">, dans cette capacité à </w:t>
      </w:r>
      <w:r w:rsidR="00E642D0">
        <w:t xml:space="preserve">étudier véritablement la vie des hommes en société.  </w:t>
      </w:r>
      <w:bookmarkStart w:id="9" w:name="_GoBack"/>
      <w:bookmarkEnd w:id="9"/>
    </w:p>
    <w:p w14:paraId="6B16A83E" w14:textId="77777777" w:rsidR="006C2F1D" w:rsidRDefault="006C2F1D" w:rsidP="00D54C95">
      <w:pPr>
        <w:jc w:val="both"/>
      </w:pPr>
    </w:p>
    <w:p w14:paraId="5F413E7E" w14:textId="4D6CD495" w:rsidR="00035427" w:rsidRPr="003932EE" w:rsidRDefault="00CB318B" w:rsidP="006C2F1D">
      <w:pPr>
        <w:jc w:val="both"/>
        <w:rPr>
          <w:b/>
          <w:sz w:val="28"/>
          <w:szCs w:val="28"/>
        </w:rPr>
      </w:pPr>
      <w:r>
        <w:rPr>
          <w:b/>
          <w:sz w:val="28"/>
          <w:szCs w:val="28"/>
        </w:rPr>
        <w:t>Références b</w:t>
      </w:r>
      <w:r w:rsidR="003932EE" w:rsidRPr="003932EE">
        <w:rPr>
          <w:b/>
          <w:sz w:val="28"/>
          <w:szCs w:val="28"/>
        </w:rPr>
        <w:t>ibliographi</w:t>
      </w:r>
      <w:r>
        <w:rPr>
          <w:b/>
          <w:sz w:val="28"/>
          <w:szCs w:val="28"/>
        </w:rPr>
        <w:t>ques</w:t>
      </w:r>
    </w:p>
    <w:p w14:paraId="65075E3C" w14:textId="77777777" w:rsidR="006A44F7" w:rsidRDefault="006A44F7" w:rsidP="006C2F1D"/>
    <w:p w14:paraId="66B7044D" w14:textId="3BD6983D" w:rsidR="003932EE" w:rsidRDefault="00A10DD6" w:rsidP="007E6335">
      <w:pPr>
        <w:jc w:val="both"/>
      </w:pPr>
      <w:r w:rsidRPr="006A44F7">
        <w:t>Benveniste</w:t>
      </w:r>
      <w:r w:rsidR="007E6335">
        <w:t>,</w:t>
      </w:r>
      <w:r w:rsidR="006A44F7" w:rsidRPr="006A44F7">
        <w:t xml:space="preserve"> </w:t>
      </w:r>
      <w:r w:rsidR="006A44F7">
        <w:t>É</w:t>
      </w:r>
      <w:r w:rsidR="006A44F7" w:rsidRPr="006A44F7">
        <w:t xml:space="preserve">mile, 1966, </w:t>
      </w:r>
      <w:r w:rsidR="006A44F7" w:rsidRPr="006A44F7">
        <w:rPr>
          <w:i/>
        </w:rPr>
        <w:t>Problèmes de linguistique générale</w:t>
      </w:r>
      <w:r w:rsidR="006A44F7">
        <w:t>, t.1</w:t>
      </w:r>
      <w:r w:rsidR="001E4BEC">
        <w:t>. Paris :</w:t>
      </w:r>
      <w:r w:rsidR="006A44F7">
        <w:t xml:space="preserve"> Gallimard</w:t>
      </w:r>
    </w:p>
    <w:p w14:paraId="162CFC61" w14:textId="329B3B9F" w:rsidR="006A44F7" w:rsidRPr="006A44F7" w:rsidRDefault="006A44F7" w:rsidP="007E6335">
      <w:pPr>
        <w:jc w:val="both"/>
      </w:pPr>
      <w:r>
        <w:t>Benveniste</w:t>
      </w:r>
      <w:r w:rsidR="007E6335">
        <w:t>,</w:t>
      </w:r>
      <w:r>
        <w:t xml:space="preserve"> Émile, 1974, </w:t>
      </w:r>
      <w:r w:rsidRPr="006A44F7">
        <w:rPr>
          <w:i/>
        </w:rPr>
        <w:t>Problèmes de linguistique générale</w:t>
      </w:r>
      <w:r>
        <w:t>, t.2</w:t>
      </w:r>
      <w:r w:rsidR="001E4BEC">
        <w:t>. Paris :</w:t>
      </w:r>
      <w:r>
        <w:t xml:space="preserve"> Gallimard</w:t>
      </w:r>
    </w:p>
    <w:p w14:paraId="56DAD91F" w14:textId="54843827" w:rsidR="006A44F7" w:rsidRDefault="006A44F7" w:rsidP="007E6335">
      <w:pPr>
        <w:ind w:left="720" w:hanging="720"/>
        <w:jc w:val="both"/>
      </w:pPr>
      <w:r>
        <w:t>Ducrot</w:t>
      </w:r>
      <w:r w:rsidR="007E6335">
        <w:t>,</w:t>
      </w:r>
      <w:r>
        <w:t xml:space="preserve"> Oswald, 1972, </w:t>
      </w:r>
      <w:r w:rsidRPr="00FA2FB2">
        <w:rPr>
          <w:i/>
        </w:rPr>
        <w:t>Dire et ne pas dire. Principes de sémantique linguist</w:t>
      </w:r>
      <w:r w:rsidR="00161639" w:rsidRPr="00FA2FB2">
        <w:rPr>
          <w:i/>
        </w:rPr>
        <w:t>i</w:t>
      </w:r>
      <w:r w:rsidRPr="00FA2FB2">
        <w:rPr>
          <w:i/>
        </w:rPr>
        <w:t>que</w:t>
      </w:r>
      <w:r w:rsidR="00205368">
        <w:t>,</w:t>
      </w:r>
      <w:r>
        <w:t xml:space="preserve"> Paris</w:t>
      </w:r>
      <w:r w:rsidR="00747550">
        <w:t> :</w:t>
      </w:r>
      <w:r>
        <w:t xml:space="preserve"> Hermann</w:t>
      </w:r>
    </w:p>
    <w:p w14:paraId="2A1D9A17" w14:textId="4130F8AC" w:rsidR="00747550" w:rsidRDefault="00747550" w:rsidP="007E6335">
      <w:pPr>
        <w:ind w:left="720" w:hanging="720"/>
        <w:jc w:val="both"/>
      </w:pPr>
      <w:r>
        <w:t>Ducrot</w:t>
      </w:r>
      <w:r w:rsidR="007E6335">
        <w:t>,</w:t>
      </w:r>
      <w:r>
        <w:t xml:space="preserve"> Oswald, 1984, </w:t>
      </w:r>
      <w:r w:rsidRPr="00747550">
        <w:rPr>
          <w:i/>
        </w:rPr>
        <w:t>Le dire et le dit</w:t>
      </w:r>
      <w:r>
        <w:t>. Paris : Minuit.</w:t>
      </w:r>
    </w:p>
    <w:p w14:paraId="24C869D5" w14:textId="0EC0C8D0" w:rsidR="003932EE" w:rsidRDefault="003932EE" w:rsidP="007E6335">
      <w:pPr>
        <w:ind w:left="720" w:hanging="720"/>
        <w:jc w:val="both"/>
      </w:pPr>
      <w:r w:rsidRPr="003932EE">
        <w:t>Guimarães</w:t>
      </w:r>
      <w:r w:rsidR="007E6335">
        <w:t>,</w:t>
      </w:r>
      <w:r w:rsidRPr="003932EE">
        <w:t xml:space="preserve"> Eduardo, 2011, </w:t>
      </w:r>
      <w:r>
        <w:t xml:space="preserve">« La marque du nom », </w:t>
      </w:r>
      <w:r w:rsidRPr="00855CE8">
        <w:rPr>
          <w:i/>
        </w:rPr>
        <w:t>Astérion</w:t>
      </w:r>
      <w:r>
        <w:t xml:space="preserve"> (en ligne), 8/11, Mis en ligne de 29 juillet 2011</w:t>
      </w:r>
    </w:p>
    <w:p w14:paraId="3790D59D" w14:textId="254C7667" w:rsidR="003932EE" w:rsidRPr="003932EE" w:rsidRDefault="003932EE" w:rsidP="007E6335">
      <w:pPr>
        <w:pStyle w:val="texte"/>
        <w:spacing w:before="0" w:beforeAutospacing="0" w:after="0" w:afterAutospacing="0"/>
        <w:ind w:left="720" w:hanging="720"/>
        <w:jc w:val="both"/>
        <w:rPr>
          <w:lang w:val="en-GB"/>
        </w:rPr>
      </w:pPr>
      <w:proofErr w:type="spellStart"/>
      <w:r w:rsidRPr="003932EE">
        <w:rPr>
          <w:lang w:val="en-GB"/>
        </w:rPr>
        <w:t>Guimarães</w:t>
      </w:r>
      <w:proofErr w:type="spellEnd"/>
      <w:r w:rsidR="007E6335">
        <w:rPr>
          <w:lang w:val="en-GB"/>
        </w:rPr>
        <w:t>,</w:t>
      </w:r>
      <w:r w:rsidR="00606255">
        <w:rPr>
          <w:lang w:val="en-GB"/>
        </w:rPr>
        <w:t xml:space="preserve"> </w:t>
      </w:r>
      <w:r w:rsidRPr="003932EE">
        <w:rPr>
          <w:lang w:val="en-GB"/>
        </w:rPr>
        <w:t>Eduardo, 200</w:t>
      </w:r>
      <w:r w:rsidR="006A44F7">
        <w:rPr>
          <w:lang w:val="en-GB"/>
        </w:rPr>
        <w:t>2</w:t>
      </w:r>
      <w:r w:rsidRPr="003932EE">
        <w:rPr>
          <w:lang w:val="en-GB"/>
        </w:rPr>
        <w:t>,</w:t>
      </w:r>
      <w:r w:rsidRPr="00855CE8">
        <w:rPr>
          <w:i/>
          <w:lang w:val="en-GB"/>
        </w:rPr>
        <w:t xml:space="preserve"> </w:t>
      </w:r>
      <w:proofErr w:type="spellStart"/>
      <w:r w:rsidRPr="00855CE8">
        <w:rPr>
          <w:i/>
          <w:lang w:val="en-GB"/>
        </w:rPr>
        <w:t>Semântica</w:t>
      </w:r>
      <w:proofErr w:type="spellEnd"/>
      <w:r w:rsidRPr="00855CE8">
        <w:rPr>
          <w:i/>
          <w:lang w:val="en-GB"/>
        </w:rPr>
        <w:t xml:space="preserve"> do </w:t>
      </w:r>
      <w:proofErr w:type="spellStart"/>
      <w:r w:rsidRPr="00855CE8">
        <w:rPr>
          <w:i/>
          <w:lang w:val="en-GB"/>
        </w:rPr>
        <w:t>acontecimento</w:t>
      </w:r>
      <w:proofErr w:type="spellEnd"/>
      <w:r>
        <w:rPr>
          <w:i/>
          <w:lang w:val="en-GB"/>
        </w:rPr>
        <w:t xml:space="preserve">, </w:t>
      </w:r>
      <w:proofErr w:type="gramStart"/>
      <w:r w:rsidR="00205368">
        <w:rPr>
          <w:lang w:val="en-GB"/>
        </w:rPr>
        <w:t>Campinas :</w:t>
      </w:r>
      <w:proofErr w:type="gramEnd"/>
      <w:r w:rsidR="00205368">
        <w:rPr>
          <w:lang w:val="en-GB"/>
        </w:rPr>
        <w:t xml:space="preserve"> P</w:t>
      </w:r>
      <w:r>
        <w:rPr>
          <w:lang w:val="en-GB"/>
        </w:rPr>
        <w:t>ontes.</w:t>
      </w:r>
    </w:p>
    <w:p w14:paraId="4A5FBB94" w14:textId="2C342228" w:rsidR="006A44F7" w:rsidRPr="006A44F7" w:rsidRDefault="006A44F7" w:rsidP="007E6335">
      <w:pPr>
        <w:ind w:left="720" w:hanging="720"/>
        <w:jc w:val="both"/>
      </w:pPr>
      <w:proofErr w:type="spellStart"/>
      <w:r w:rsidRPr="006A44F7">
        <w:t>Frath</w:t>
      </w:r>
      <w:proofErr w:type="spellEnd"/>
      <w:r w:rsidR="007E6335">
        <w:t>,</w:t>
      </w:r>
      <w:r w:rsidRPr="006A44F7">
        <w:t xml:space="preserve"> Pierre, 2020, </w:t>
      </w:r>
      <w:r w:rsidRPr="00747550">
        <w:rPr>
          <w:i/>
        </w:rPr>
        <w:t>Linguistique anthropologique et référentielle</w:t>
      </w:r>
      <w:r w:rsidR="00205368">
        <w:rPr>
          <w:i/>
        </w:rPr>
        <w:t>,</w:t>
      </w:r>
      <w:r w:rsidR="001E4BEC">
        <w:rPr>
          <w:i/>
        </w:rPr>
        <w:t xml:space="preserve"> </w:t>
      </w:r>
      <w:r w:rsidR="001E4BEC">
        <w:t xml:space="preserve">Reims : </w:t>
      </w:r>
      <w:proofErr w:type="spellStart"/>
      <w:r w:rsidR="001E4BEC">
        <w:t>S</w:t>
      </w:r>
      <w:r>
        <w:t>apientia</w:t>
      </w:r>
      <w:proofErr w:type="spellEnd"/>
      <w:r>
        <w:t xml:space="preserve"> Hominis</w:t>
      </w:r>
    </w:p>
    <w:p w14:paraId="55AC0AE9" w14:textId="43E3F5DE" w:rsidR="00161639" w:rsidRDefault="00161639" w:rsidP="007E6335">
      <w:pPr>
        <w:ind w:left="720" w:hanging="720"/>
        <w:jc w:val="both"/>
      </w:pPr>
      <w:proofErr w:type="spellStart"/>
      <w:r w:rsidRPr="00161639">
        <w:t>F</w:t>
      </w:r>
      <w:r>
        <w:t>rath</w:t>
      </w:r>
      <w:proofErr w:type="spellEnd"/>
      <w:r w:rsidR="007E6335">
        <w:t>,</w:t>
      </w:r>
      <w:r w:rsidRPr="00161639">
        <w:t xml:space="preserve"> Pierre</w:t>
      </w:r>
      <w:r>
        <w:t xml:space="preserve">, </w:t>
      </w:r>
      <w:r w:rsidRPr="00161639">
        <w:t>2018</w:t>
      </w:r>
      <w:r>
        <w:t>, « </w:t>
      </w:r>
      <w:r w:rsidRPr="00161639">
        <w:t>La catégorie comme entité métalinguistique</w:t>
      </w:r>
      <w:r>
        <w:t> »</w:t>
      </w:r>
      <w:r w:rsidR="00205368">
        <w:t> :</w:t>
      </w:r>
      <w:r w:rsidRPr="00161639">
        <w:t xml:space="preserve"> In </w:t>
      </w:r>
      <w:proofErr w:type="spellStart"/>
      <w:r w:rsidRPr="00161639">
        <w:rPr>
          <w:i/>
        </w:rPr>
        <w:t>Res</w:t>
      </w:r>
      <w:proofErr w:type="spellEnd"/>
      <w:r w:rsidRPr="00161639">
        <w:rPr>
          <w:i/>
        </w:rPr>
        <w:t>-per-nomen VI : Les catégories abstraites et la référence</w:t>
      </w:r>
      <w:r w:rsidRPr="00161639">
        <w:t xml:space="preserve">, Coord. </w:t>
      </w:r>
      <w:r w:rsidRPr="00205368">
        <w:t xml:space="preserve">G. Kleiber, E. </w:t>
      </w:r>
      <w:proofErr w:type="spellStart"/>
      <w:r w:rsidRPr="00205368">
        <w:t>Hilgert</w:t>
      </w:r>
      <w:proofErr w:type="spellEnd"/>
      <w:r w:rsidRPr="00205368">
        <w:t xml:space="preserve">, S. Palma, R. </w:t>
      </w:r>
      <w:proofErr w:type="spellStart"/>
      <w:r w:rsidRPr="00205368">
        <w:t>Daval</w:t>
      </w:r>
      <w:proofErr w:type="spellEnd"/>
      <w:r w:rsidRPr="00205368">
        <w:t xml:space="preserve">, P. </w:t>
      </w:r>
      <w:proofErr w:type="spellStart"/>
      <w:r w:rsidRPr="00205368">
        <w:t>Frath</w:t>
      </w:r>
      <w:proofErr w:type="spellEnd"/>
      <w:r w:rsidR="00205368" w:rsidRPr="00205368">
        <w:t>,</w:t>
      </w:r>
      <w:r w:rsidRPr="00205368">
        <w:t xml:space="preserve"> </w:t>
      </w:r>
      <w:r w:rsidRPr="00161639">
        <w:t>Editions et Presses Universitaires de Reims.</w:t>
      </w:r>
    </w:p>
    <w:p w14:paraId="442B66EF" w14:textId="08A44EA2" w:rsidR="006C2F1D" w:rsidRDefault="006C2F1D" w:rsidP="007E6335">
      <w:pPr>
        <w:ind w:left="720" w:hanging="720"/>
        <w:jc w:val="both"/>
      </w:pPr>
      <w:proofErr w:type="spellStart"/>
      <w:r>
        <w:t>Frath</w:t>
      </w:r>
      <w:proofErr w:type="spellEnd"/>
      <w:r w:rsidR="007E6335">
        <w:t>,</w:t>
      </w:r>
      <w:r>
        <w:t xml:space="preserve"> Pierre, 2014, « </w:t>
      </w:r>
      <w:r w:rsidRPr="006C2F1D">
        <w:t>La conception de la dénomination chez Georges Kleiber</w:t>
      </w:r>
      <w:r>
        <w:t> »</w:t>
      </w:r>
      <w:r w:rsidR="00205368">
        <w:t> :</w:t>
      </w:r>
      <w:r>
        <w:t xml:space="preserve"> </w:t>
      </w:r>
      <w:r w:rsidR="00205368">
        <w:t>i</w:t>
      </w:r>
      <w:r>
        <w:t xml:space="preserve">n </w:t>
      </w:r>
      <w:proofErr w:type="spellStart"/>
      <w:r>
        <w:rPr>
          <w:i/>
          <w:iCs/>
        </w:rPr>
        <w:t>Res</w:t>
      </w:r>
      <w:proofErr w:type="spellEnd"/>
      <w:r>
        <w:rPr>
          <w:i/>
          <w:iCs/>
        </w:rPr>
        <w:t xml:space="preserve">-per-nomen IV : Les théories du sens et de la référence. </w:t>
      </w:r>
      <w:r w:rsidRPr="00546680">
        <w:rPr>
          <w:i/>
          <w:iCs/>
          <w:lang w:val="de-DE"/>
        </w:rPr>
        <w:t xml:space="preserve">Hommage à Georges Kleiber, </w:t>
      </w:r>
      <w:r w:rsidRPr="00546680">
        <w:rPr>
          <w:lang w:val="de-DE"/>
        </w:rPr>
        <w:t xml:space="preserve">pp 19-34. </w:t>
      </w:r>
      <w:proofErr w:type="spellStart"/>
      <w:r w:rsidR="001E4BEC" w:rsidRPr="00546680">
        <w:rPr>
          <w:lang w:val="de-DE"/>
        </w:rPr>
        <w:t>Coord</w:t>
      </w:r>
      <w:proofErr w:type="spellEnd"/>
      <w:r w:rsidR="001E4BEC" w:rsidRPr="00546680">
        <w:rPr>
          <w:lang w:val="de-DE"/>
        </w:rPr>
        <w:t xml:space="preserve">. E. Hilgert, S. Palma, R. </w:t>
      </w:r>
      <w:proofErr w:type="spellStart"/>
      <w:r w:rsidR="001E4BEC" w:rsidRPr="00546680">
        <w:rPr>
          <w:lang w:val="de-DE"/>
        </w:rPr>
        <w:t>Daval</w:t>
      </w:r>
      <w:proofErr w:type="spellEnd"/>
      <w:r w:rsidR="001E4BEC" w:rsidRPr="00546680">
        <w:rPr>
          <w:lang w:val="de-DE"/>
        </w:rPr>
        <w:t xml:space="preserve">, P. </w:t>
      </w:r>
      <w:proofErr w:type="spellStart"/>
      <w:r w:rsidR="001E4BEC" w:rsidRPr="00546680">
        <w:rPr>
          <w:lang w:val="de-DE"/>
        </w:rPr>
        <w:t>Frath</w:t>
      </w:r>
      <w:proofErr w:type="spellEnd"/>
      <w:r w:rsidR="001E4BEC" w:rsidRPr="00546680">
        <w:rPr>
          <w:lang w:val="de-DE"/>
        </w:rPr>
        <w:t xml:space="preserve">. </w:t>
      </w:r>
      <w:r>
        <w:t xml:space="preserve">Editions et Presses Universitaires de Reims. </w:t>
      </w:r>
    </w:p>
    <w:p w14:paraId="5018B3F1" w14:textId="3AF758C8" w:rsidR="006C2F1D" w:rsidRPr="003578B4" w:rsidRDefault="006C2F1D" w:rsidP="007E6335">
      <w:pPr>
        <w:ind w:left="720" w:hanging="720"/>
        <w:jc w:val="both"/>
      </w:pPr>
      <w:r w:rsidRPr="003578B4">
        <w:t>Kleiber</w:t>
      </w:r>
      <w:r w:rsidR="007E6335">
        <w:t>,</w:t>
      </w:r>
      <w:r w:rsidRPr="003578B4">
        <w:t xml:space="preserve"> G</w:t>
      </w:r>
      <w:r w:rsidR="006A44F7">
        <w:t>eorges</w:t>
      </w:r>
      <w:r>
        <w:t>, 2001, « Remarques sur la dénomination »</w:t>
      </w:r>
      <w:r w:rsidR="00205368">
        <w:t xml:space="preserve"> : </w:t>
      </w:r>
      <w:r w:rsidRPr="003578B4">
        <w:t xml:space="preserve">in </w:t>
      </w:r>
      <w:r w:rsidRPr="003578B4">
        <w:rPr>
          <w:i/>
        </w:rPr>
        <w:t>Cahiers de praxématique</w:t>
      </w:r>
      <w:r w:rsidRPr="003578B4">
        <w:t xml:space="preserve"> 36, Montpe</w:t>
      </w:r>
      <w:r>
        <w:t>l</w:t>
      </w:r>
      <w:r w:rsidRPr="003578B4">
        <w:t xml:space="preserve">lier III, Bernard Bosredon, Irène Tamba et Gérard Petit, </w:t>
      </w:r>
      <w:proofErr w:type="spellStart"/>
      <w:r w:rsidR="00DA62DF">
        <w:t>d</w:t>
      </w:r>
      <w:r w:rsidR="00205368" w:rsidRPr="00205368">
        <w:t>ir</w:t>
      </w:r>
      <w:proofErr w:type="spellEnd"/>
      <w:r w:rsidRPr="003578B4">
        <w:t>, 21-41.</w:t>
      </w:r>
    </w:p>
    <w:p w14:paraId="5EBC0B93" w14:textId="3CAEB585" w:rsidR="003932EE" w:rsidRDefault="003932EE" w:rsidP="007E6335">
      <w:pPr>
        <w:ind w:left="720" w:hanging="720"/>
        <w:jc w:val="both"/>
      </w:pPr>
      <w:r w:rsidRPr="003578B4">
        <w:t>Kleiber</w:t>
      </w:r>
      <w:r w:rsidR="007E6335">
        <w:t>,</w:t>
      </w:r>
      <w:r w:rsidRPr="003578B4">
        <w:t xml:space="preserve"> G</w:t>
      </w:r>
      <w:r w:rsidR="006A44F7">
        <w:t>eorges</w:t>
      </w:r>
      <w:r>
        <w:t xml:space="preserve">, 1994, </w:t>
      </w:r>
      <w:r w:rsidRPr="003578B4">
        <w:rPr>
          <w:i/>
        </w:rPr>
        <w:t>Nominales. Essais de sémantique référentielle</w:t>
      </w:r>
      <w:r w:rsidR="00205368">
        <w:t>,</w:t>
      </w:r>
      <w:r w:rsidR="001E4BEC">
        <w:t xml:space="preserve"> Paris : </w:t>
      </w:r>
      <w:r w:rsidRPr="003578B4">
        <w:t>Armand Colin</w:t>
      </w:r>
      <w:r w:rsidR="006A44F7">
        <w:t>.</w:t>
      </w:r>
    </w:p>
    <w:p w14:paraId="7A5E4506" w14:textId="7E99844B" w:rsidR="00747550" w:rsidRDefault="00747550" w:rsidP="007E6335">
      <w:pPr>
        <w:ind w:left="720" w:hanging="720"/>
        <w:jc w:val="both"/>
      </w:pPr>
      <w:r>
        <w:t>Rancière</w:t>
      </w:r>
      <w:r w:rsidR="007E6335">
        <w:t>,</w:t>
      </w:r>
      <w:r>
        <w:t xml:space="preserve"> Jacques, 1992, </w:t>
      </w:r>
      <w:r w:rsidRPr="00747550">
        <w:rPr>
          <w:i/>
        </w:rPr>
        <w:t>Les noms de l’histoire</w:t>
      </w:r>
      <w:r>
        <w:t>, Paris : Seuil.</w:t>
      </w:r>
    </w:p>
    <w:p w14:paraId="5E5F92FF" w14:textId="1B889A00" w:rsidR="00EC49F5" w:rsidRDefault="00EC49F5" w:rsidP="00DA62DF">
      <w:pPr>
        <w:ind w:left="709" w:hanging="709"/>
        <w:jc w:val="both"/>
        <w:rPr>
          <w:lang w:val="en-GB"/>
        </w:rPr>
      </w:pPr>
      <w:r w:rsidRPr="00EC49F5">
        <w:rPr>
          <w:lang w:val="en-GB"/>
        </w:rPr>
        <w:t>Russell, Bertrand,</w:t>
      </w:r>
      <w:r>
        <w:rPr>
          <w:lang w:val="en-GB"/>
        </w:rPr>
        <w:t xml:space="preserve"> 1996, “Descriptions”: in </w:t>
      </w:r>
      <w:r>
        <w:rPr>
          <w:i/>
          <w:lang w:val="en-GB"/>
        </w:rPr>
        <w:t>The Philosophy of Language</w:t>
      </w:r>
      <w:r>
        <w:rPr>
          <w:lang w:val="en-GB"/>
        </w:rPr>
        <w:t xml:space="preserve">, A. P. </w:t>
      </w:r>
      <w:proofErr w:type="spellStart"/>
      <w:r>
        <w:rPr>
          <w:lang w:val="en-GB"/>
        </w:rPr>
        <w:t>Martinich</w:t>
      </w:r>
      <w:proofErr w:type="spellEnd"/>
      <w:r>
        <w:rPr>
          <w:lang w:val="en-GB"/>
        </w:rPr>
        <w:t xml:space="preserve">, </w:t>
      </w:r>
      <w:r w:rsidRPr="00EC49F5">
        <w:rPr>
          <w:lang w:val="en-GB"/>
        </w:rPr>
        <w:t>ed</w:t>
      </w:r>
      <w:r>
        <w:rPr>
          <w:lang w:val="en-GB"/>
        </w:rPr>
        <w:t>. OUP, pp 208-214. 1</w:t>
      </w:r>
      <w:r>
        <w:rPr>
          <w:vertAlign w:val="superscript"/>
          <w:lang w:val="en-GB"/>
        </w:rPr>
        <w:t>ère</w:t>
      </w:r>
      <w:r>
        <w:rPr>
          <w:lang w:val="en-GB"/>
        </w:rPr>
        <w:t xml:space="preserve"> </w:t>
      </w:r>
      <w:proofErr w:type="gramStart"/>
      <w:r>
        <w:rPr>
          <w:lang w:val="en-GB"/>
        </w:rPr>
        <w:t>publication :</w:t>
      </w:r>
      <w:proofErr w:type="gramEnd"/>
      <w:r>
        <w:rPr>
          <w:lang w:val="en-GB"/>
        </w:rPr>
        <w:t xml:space="preserve"> in </w:t>
      </w:r>
      <w:r>
        <w:rPr>
          <w:i/>
          <w:lang w:val="en-GB"/>
        </w:rPr>
        <w:t>Introduction to Mathematical Philosophy</w:t>
      </w:r>
      <w:r>
        <w:rPr>
          <w:lang w:val="en-GB"/>
        </w:rPr>
        <w:t>, George Allen &amp; Unwin ltd, 1919, pp. 167-180.</w:t>
      </w:r>
    </w:p>
    <w:p w14:paraId="6F14FD3C" w14:textId="4F1F39F8" w:rsidR="006A44F7" w:rsidRPr="003578B4" w:rsidRDefault="006A44F7" w:rsidP="007E6335">
      <w:pPr>
        <w:ind w:left="720" w:hanging="720"/>
        <w:jc w:val="both"/>
      </w:pPr>
      <w:r w:rsidRPr="006A44F7">
        <w:t>Wittgenstein</w:t>
      </w:r>
      <w:r w:rsidR="007E6335">
        <w:t xml:space="preserve">, </w:t>
      </w:r>
      <w:r w:rsidRPr="006A44F7">
        <w:t>Ludwig, 1961,</w:t>
      </w:r>
      <w:r>
        <w:t xml:space="preserve"> </w:t>
      </w:r>
      <w:r w:rsidRPr="006A44F7">
        <w:rPr>
          <w:i/>
        </w:rPr>
        <w:t>Tractatus logico-</w:t>
      </w:r>
      <w:proofErr w:type="spellStart"/>
      <w:r w:rsidRPr="006A44F7">
        <w:rPr>
          <w:i/>
        </w:rPr>
        <w:t>philosophicus</w:t>
      </w:r>
      <w:proofErr w:type="spellEnd"/>
      <w:r w:rsidRPr="006A44F7">
        <w:t xml:space="preserve"> suivi de </w:t>
      </w:r>
      <w:r w:rsidRPr="006A44F7">
        <w:rPr>
          <w:i/>
        </w:rPr>
        <w:t>Investigations philosophique</w:t>
      </w:r>
      <w:r w:rsidRPr="006A44F7">
        <w:t>s. Traduit de l'allemand par Pierre Klossowski</w:t>
      </w:r>
      <w:r w:rsidR="00205368">
        <w:t>,</w:t>
      </w:r>
      <w:r w:rsidRPr="006A44F7">
        <w:t xml:space="preserve"> Paris</w:t>
      </w:r>
      <w:r w:rsidR="001E4BEC">
        <w:t> :</w:t>
      </w:r>
      <w:r w:rsidRPr="006A44F7">
        <w:t xml:space="preserve"> Gallimard.</w:t>
      </w:r>
    </w:p>
    <w:p w14:paraId="1343EA26" w14:textId="77777777" w:rsidR="000B633F" w:rsidRDefault="000B633F" w:rsidP="006C2F1D">
      <w:pPr>
        <w:ind w:left="720" w:hanging="720"/>
        <w:jc w:val="both"/>
      </w:pPr>
    </w:p>
    <w:sectPr w:rsidR="000B633F" w:rsidSect="00D700E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1CD52" w14:textId="77777777" w:rsidR="00896A96" w:rsidRDefault="00896A96">
      <w:r>
        <w:separator/>
      </w:r>
    </w:p>
  </w:endnote>
  <w:endnote w:type="continuationSeparator" w:id="0">
    <w:p w14:paraId="5F034B2A" w14:textId="77777777" w:rsidR="00896A96" w:rsidRDefault="0089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15A8B" w14:textId="77777777" w:rsidR="00896A96" w:rsidRDefault="00896A96">
      <w:r>
        <w:separator/>
      </w:r>
    </w:p>
  </w:footnote>
  <w:footnote w:type="continuationSeparator" w:id="0">
    <w:p w14:paraId="7E756958" w14:textId="77777777" w:rsidR="00896A96" w:rsidRDefault="00896A96">
      <w:r>
        <w:continuationSeparator/>
      </w:r>
    </w:p>
  </w:footnote>
  <w:footnote w:id="1">
    <w:p w14:paraId="601B9CFD" w14:textId="2D7CC983" w:rsidR="00EB76D8" w:rsidRPr="00EB76D8" w:rsidRDefault="00EB76D8">
      <w:pPr>
        <w:pStyle w:val="Notedebasdepage"/>
        <w:rPr>
          <w:lang w:val="fr-FR"/>
        </w:rPr>
      </w:pPr>
      <w:r>
        <w:rPr>
          <w:rStyle w:val="Appelnotedebasdep"/>
        </w:rPr>
        <w:footnoteRef/>
      </w:r>
      <w:r w:rsidRPr="00EB76D8">
        <w:rPr>
          <w:lang w:val="fr-FR"/>
        </w:rPr>
        <w:t xml:space="preserve"> </w:t>
      </w:r>
      <w:r w:rsidR="004D0D34">
        <w:rPr>
          <w:lang w:val="fr-FR"/>
        </w:rPr>
        <w:t>Je n’indique pas l</w:t>
      </w:r>
      <w:r w:rsidR="009A1C87">
        <w:rPr>
          <w:lang w:val="fr-FR"/>
        </w:rPr>
        <w:t>es</w:t>
      </w:r>
      <w:r w:rsidR="004D0D34">
        <w:rPr>
          <w:lang w:val="fr-FR"/>
        </w:rPr>
        <w:t xml:space="preserve"> </w:t>
      </w:r>
      <w:r w:rsidR="009A1C87">
        <w:rPr>
          <w:lang w:val="fr-FR"/>
        </w:rPr>
        <w:t xml:space="preserve">numéros des </w:t>
      </w:r>
      <w:r w:rsidR="004D0D34">
        <w:rPr>
          <w:lang w:val="fr-FR"/>
        </w:rPr>
        <w:t xml:space="preserve">pages parce qu’il </w:t>
      </w:r>
      <w:r>
        <w:rPr>
          <w:lang w:val="fr-FR"/>
        </w:rPr>
        <w:t xml:space="preserve">s’agit d’un texte en ligne, sans numérotation. </w:t>
      </w:r>
    </w:p>
  </w:footnote>
  <w:footnote w:id="2">
    <w:p w14:paraId="50E1BFA0" w14:textId="7F4118D0" w:rsidR="00D42398" w:rsidRPr="00A23124" w:rsidRDefault="00D42398">
      <w:pPr>
        <w:pStyle w:val="Notedebasdepage"/>
        <w:rPr>
          <w:lang w:val="fr-FR"/>
        </w:rPr>
      </w:pPr>
      <w:r>
        <w:rPr>
          <w:rStyle w:val="Appelnotedebasdep"/>
        </w:rPr>
        <w:footnoteRef/>
      </w:r>
      <w:r w:rsidRPr="00780652">
        <w:rPr>
          <w:lang w:val="fr-FR"/>
        </w:rPr>
        <w:t xml:space="preserve"> </w:t>
      </w:r>
      <w:r w:rsidR="00161639">
        <w:rPr>
          <w:lang w:val="fr-FR"/>
        </w:rPr>
        <w:t xml:space="preserve">Ludwig Wittgenstein, </w:t>
      </w:r>
      <w:r w:rsidR="007E6335">
        <w:rPr>
          <w:lang w:val="fr-FR"/>
        </w:rPr>
        <w:t xml:space="preserve">1961, </w:t>
      </w:r>
      <w:r w:rsidR="00161639" w:rsidRPr="00161639">
        <w:rPr>
          <w:i/>
          <w:lang w:val="fr-FR"/>
        </w:rPr>
        <w:t>Investigations philosophiques</w:t>
      </w:r>
      <w:r w:rsidR="00161639">
        <w:rPr>
          <w:lang w:val="fr-FR"/>
        </w:rPr>
        <w:t xml:space="preserve">, </w:t>
      </w:r>
      <w:r w:rsidRPr="00780652">
        <w:rPr>
          <w:lang w:val="fr-FR"/>
        </w:rPr>
        <w:t>§241.</w:t>
      </w:r>
    </w:p>
  </w:footnote>
  <w:footnote w:id="3">
    <w:p w14:paraId="7F814D4A" w14:textId="76450CDE" w:rsidR="00D42398" w:rsidRPr="005634DF" w:rsidRDefault="00D42398" w:rsidP="005634DF">
      <w:pPr>
        <w:pStyle w:val="Notedebasdepage"/>
        <w:jc w:val="both"/>
        <w:rPr>
          <w:lang w:val="fr-FR"/>
        </w:rPr>
      </w:pPr>
      <w:r>
        <w:rPr>
          <w:rStyle w:val="Appelnotedebasdep"/>
        </w:rPr>
        <w:footnoteRef/>
      </w:r>
      <w:r w:rsidRPr="005634DF">
        <w:rPr>
          <w:lang w:val="fr-FR"/>
        </w:rPr>
        <w:t xml:space="preserve"> </w:t>
      </w:r>
      <w:r>
        <w:rPr>
          <w:lang w:val="fr-FR"/>
        </w:rPr>
        <w:t xml:space="preserve">Il y en a eu d’autres. Les lecteurs plus âgés se rappelleront peut-être la crainte de l’apocalypse nucléaire qui régnait dans les années </w:t>
      </w:r>
      <w:r w:rsidR="007E6335">
        <w:rPr>
          <w:lang w:val="fr-FR"/>
        </w:rPr>
        <w:t>19</w:t>
      </w:r>
      <w:r>
        <w:rPr>
          <w:lang w:val="fr-FR"/>
        </w:rPr>
        <w:t xml:space="preserve">50 et </w:t>
      </w:r>
      <w:r w:rsidR="007E6335">
        <w:rPr>
          <w:lang w:val="fr-FR"/>
        </w:rPr>
        <w:t>19</w:t>
      </w:r>
      <w:r>
        <w:rPr>
          <w:lang w:val="fr-FR"/>
        </w:rPr>
        <w:t xml:space="preserve">60 lors de la course aux armements entre les USA et l’URSS.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20870"/>
    <w:multiLevelType w:val="hybridMultilevel"/>
    <w:tmpl w:val="573CF14A"/>
    <w:lvl w:ilvl="0" w:tplc="68B2FC1C">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40AA8"/>
    <w:multiLevelType w:val="multilevel"/>
    <w:tmpl w:val="1310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04C71"/>
    <w:multiLevelType w:val="multilevel"/>
    <w:tmpl w:val="8C16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963E1"/>
    <w:multiLevelType w:val="hybridMultilevel"/>
    <w:tmpl w:val="2EE67FB0"/>
    <w:lvl w:ilvl="0" w:tplc="5868EEAA">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0A7B26"/>
    <w:multiLevelType w:val="multilevel"/>
    <w:tmpl w:val="866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D1BAD"/>
    <w:multiLevelType w:val="hybridMultilevel"/>
    <w:tmpl w:val="2042F43E"/>
    <w:lvl w:ilvl="0" w:tplc="CD3AB0C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2D0CF1"/>
    <w:multiLevelType w:val="hybridMultilevel"/>
    <w:tmpl w:val="558A2984"/>
    <w:lvl w:ilvl="0" w:tplc="CD3AB0C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35F"/>
    <w:rsid w:val="00005445"/>
    <w:rsid w:val="00010489"/>
    <w:rsid w:val="00011426"/>
    <w:rsid w:val="00016081"/>
    <w:rsid w:val="00032D80"/>
    <w:rsid w:val="00035427"/>
    <w:rsid w:val="000356C7"/>
    <w:rsid w:val="00067861"/>
    <w:rsid w:val="00085306"/>
    <w:rsid w:val="000874E9"/>
    <w:rsid w:val="000A1B2F"/>
    <w:rsid w:val="000A273B"/>
    <w:rsid w:val="000B633F"/>
    <w:rsid w:val="000B7E99"/>
    <w:rsid w:val="000C210F"/>
    <w:rsid w:val="000D2D68"/>
    <w:rsid w:val="000D3542"/>
    <w:rsid w:val="000E2D09"/>
    <w:rsid w:val="000E4560"/>
    <w:rsid w:val="000E4FC4"/>
    <w:rsid w:val="000E5BD7"/>
    <w:rsid w:val="000F6518"/>
    <w:rsid w:val="00110A00"/>
    <w:rsid w:val="001133C2"/>
    <w:rsid w:val="00152F29"/>
    <w:rsid w:val="001534B5"/>
    <w:rsid w:val="00161639"/>
    <w:rsid w:val="00181C66"/>
    <w:rsid w:val="00185B58"/>
    <w:rsid w:val="00186F55"/>
    <w:rsid w:val="001A3F67"/>
    <w:rsid w:val="001A7825"/>
    <w:rsid w:val="001B2B3D"/>
    <w:rsid w:val="001B348F"/>
    <w:rsid w:val="001B472D"/>
    <w:rsid w:val="001C192B"/>
    <w:rsid w:val="001E2D04"/>
    <w:rsid w:val="001E4BEC"/>
    <w:rsid w:val="00200134"/>
    <w:rsid w:val="00205368"/>
    <w:rsid w:val="00212F10"/>
    <w:rsid w:val="00235AB8"/>
    <w:rsid w:val="00236233"/>
    <w:rsid w:val="002629D3"/>
    <w:rsid w:val="00264797"/>
    <w:rsid w:val="002872DD"/>
    <w:rsid w:val="002A2488"/>
    <w:rsid w:val="002C509A"/>
    <w:rsid w:val="002D3647"/>
    <w:rsid w:val="002E6EBB"/>
    <w:rsid w:val="002F0A7B"/>
    <w:rsid w:val="0030658F"/>
    <w:rsid w:val="003100C4"/>
    <w:rsid w:val="003170D3"/>
    <w:rsid w:val="00326B9E"/>
    <w:rsid w:val="003343E0"/>
    <w:rsid w:val="00355B44"/>
    <w:rsid w:val="003567D4"/>
    <w:rsid w:val="0036235F"/>
    <w:rsid w:val="0036543F"/>
    <w:rsid w:val="00374123"/>
    <w:rsid w:val="0037622F"/>
    <w:rsid w:val="0037743E"/>
    <w:rsid w:val="00384D31"/>
    <w:rsid w:val="003865FA"/>
    <w:rsid w:val="003932EE"/>
    <w:rsid w:val="003A3DF5"/>
    <w:rsid w:val="003B4D10"/>
    <w:rsid w:val="003D6B79"/>
    <w:rsid w:val="003E7CFD"/>
    <w:rsid w:val="003F60DC"/>
    <w:rsid w:val="0040457A"/>
    <w:rsid w:val="00406C0A"/>
    <w:rsid w:val="00415813"/>
    <w:rsid w:val="00432EB8"/>
    <w:rsid w:val="00434341"/>
    <w:rsid w:val="00435A03"/>
    <w:rsid w:val="00436FF5"/>
    <w:rsid w:val="00445B88"/>
    <w:rsid w:val="00447903"/>
    <w:rsid w:val="0045672E"/>
    <w:rsid w:val="00461522"/>
    <w:rsid w:val="004615D8"/>
    <w:rsid w:val="004A6F4A"/>
    <w:rsid w:val="004B6637"/>
    <w:rsid w:val="004C162D"/>
    <w:rsid w:val="004C577D"/>
    <w:rsid w:val="004C6714"/>
    <w:rsid w:val="004D043C"/>
    <w:rsid w:val="004D0D34"/>
    <w:rsid w:val="004D181F"/>
    <w:rsid w:val="004E4321"/>
    <w:rsid w:val="004F4573"/>
    <w:rsid w:val="004F62E7"/>
    <w:rsid w:val="004F669B"/>
    <w:rsid w:val="00514DCF"/>
    <w:rsid w:val="00515C58"/>
    <w:rsid w:val="005303AD"/>
    <w:rsid w:val="00532D68"/>
    <w:rsid w:val="00546680"/>
    <w:rsid w:val="005634DF"/>
    <w:rsid w:val="00563F59"/>
    <w:rsid w:val="005743C2"/>
    <w:rsid w:val="00592370"/>
    <w:rsid w:val="005C0D15"/>
    <w:rsid w:val="005C5E32"/>
    <w:rsid w:val="005D0BFC"/>
    <w:rsid w:val="005D47C8"/>
    <w:rsid w:val="005E7E9E"/>
    <w:rsid w:val="005F0A75"/>
    <w:rsid w:val="005F53D7"/>
    <w:rsid w:val="005F5DE5"/>
    <w:rsid w:val="00606255"/>
    <w:rsid w:val="00631422"/>
    <w:rsid w:val="00663E90"/>
    <w:rsid w:val="006A44F7"/>
    <w:rsid w:val="006A48AA"/>
    <w:rsid w:val="006A752B"/>
    <w:rsid w:val="006C2F1D"/>
    <w:rsid w:val="006C7ED4"/>
    <w:rsid w:val="006E4DC6"/>
    <w:rsid w:val="00704613"/>
    <w:rsid w:val="007123C0"/>
    <w:rsid w:val="007126BA"/>
    <w:rsid w:val="00714DE8"/>
    <w:rsid w:val="0072528B"/>
    <w:rsid w:val="00736B61"/>
    <w:rsid w:val="00741FE6"/>
    <w:rsid w:val="00747550"/>
    <w:rsid w:val="007511A8"/>
    <w:rsid w:val="00751514"/>
    <w:rsid w:val="00751BF6"/>
    <w:rsid w:val="00755BC3"/>
    <w:rsid w:val="00765575"/>
    <w:rsid w:val="00780652"/>
    <w:rsid w:val="0079253D"/>
    <w:rsid w:val="0079715B"/>
    <w:rsid w:val="007A1075"/>
    <w:rsid w:val="007A2B00"/>
    <w:rsid w:val="007B5B65"/>
    <w:rsid w:val="007D1459"/>
    <w:rsid w:val="007E6335"/>
    <w:rsid w:val="007F43C1"/>
    <w:rsid w:val="007F7416"/>
    <w:rsid w:val="00817365"/>
    <w:rsid w:val="0082416F"/>
    <w:rsid w:val="00824771"/>
    <w:rsid w:val="00827305"/>
    <w:rsid w:val="0083213B"/>
    <w:rsid w:val="008362C8"/>
    <w:rsid w:val="00847827"/>
    <w:rsid w:val="008537E6"/>
    <w:rsid w:val="00855CE8"/>
    <w:rsid w:val="00864EA9"/>
    <w:rsid w:val="008761CB"/>
    <w:rsid w:val="00884945"/>
    <w:rsid w:val="00896A96"/>
    <w:rsid w:val="00896D95"/>
    <w:rsid w:val="008A3404"/>
    <w:rsid w:val="008A7E8C"/>
    <w:rsid w:val="008D3854"/>
    <w:rsid w:val="008D6986"/>
    <w:rsid w:val="008F3EB3"/>
    <w:rsid w:val="00907AF0"/>
    <w:rsid w:val="00931583"/>
    <w:rsid w:val="009501EC"/>
    <w:rsid w:val="00967389"/>
    <w:rsid w:val="0097471E"/>
    <w:rsid w:val="009A1C87"/>
    <w:rsid w:val="009A5C51"/>
    <w:rsid w:val="009C0E70"/>
    <w:rsid w:val="009C37C6"/>
    <w:rsid w:val="009C6F13"/>
    <w:rsid w:val="009E3256"/>
    <w:rsid w:val="00A10DD6"/>
    <w:rsid w:val="00A1232E"/>
    <w:rsid w:val="00A23124"/>
    <w:rsid w:val="00A25524"/>
    <w:rsid w:val="00A316FC"/>
    <w:rsid w:val="00A53646"/>
    <w:rsid w:val="00A64620"/>
    <w:rsid w:val="00A6548B"/>
    <w:rsid w:val="00A804FB"/>
    <w:rsid w:val="00A87225"/>
    <w:rsid w:val="00A965AB"/>
    <w:rsid w:val="00AB6AF0"/>
    <w:rsid w:val="00AC1DA7"/>
    <w:rsid w:val="00AC3476"/>
    <w:rsid w:val="00AC4902"/>
    <w:rsid w:val="00AD2093"/>
    <w:rsid w:val="00AF6299"/>
    <w:rsid w:val="00B052A2"/>
    <w:rsid w:val="00B10A32"/>
    <w:rsid w:val="00B127B4"/>
    <w:rsid w:val="00B167E7"/>
    <w:rsid w:val="00B3025B"/>
    <w:rsid w:val="00B333F3"/>
    <w:rsid w:val="00B36B20"/>
    <w:rsid w:val="00B8278D"/>
    <w:rsid w:val="00B834D3"/>
    <w:rsid w:val="00B84859"/>
    <w:rsid w:val="00BA395C"/>
    <w:rsid w:val="00BB61B6"/>
    <w:rsid w:val="00BB7180"/>
    <w:rsid w:val="00BC64C2"/>
    <w:rsid w:val="00BD2456"/>
    <w:rsid w:val="00BD6E18"/>
    <w:rsid w:val="00BE51B3"/>
    <w:rsid w:val="00C3754C"/>
    <w:rsid w:val="00C43137"/>
    <w:rsid w:val="00C73301"/>
    <w:rsid w:val="00C7387E"/>
    <w:rsid w:val="00C83A91"/>
    <w:rsid w:val="00CA303A"/>
    <w:rsid w:val="00CA3724"/>
    <w:rsid w:val="00CB318B"/>
    <w:rsid w:val="00CE11BF"/>
    <w:rsid w:val="00CE6429"/>
    <w:rsid w:val="00CF0E09"/>
    <w:rsid w:val="00D05A8F"/>
    <w:rsid w:val="00D128F8"/>
    <w:rsid w:val="00D14DBE"/>
    <w:rsid w:val="00D24EB8"/>
    <w:rsid w:val="00D25FA7"/>
    <w:rsid w:val="00D41EE1"/>
    <w:rsid w:val="00D42398"/>
    <w:rsid w:val="00D466C7"/>
    <w:rsid w:val="00D54C95"/>
    <w:rsid w:val="00D64F9E"/>
    <w:rsid w:val="00D700EF"/>
    <w:rsid w:val="00D710B1"/>
    <w:rsid w:val="00D85D2B"/>
    <w:rsid w:val="00DA62DF"/>
    <w:rsid w:val="00DC3A4B"/>
    <w:rsid w:val="00DE4737"/>
    <w:rsid w:val="00DE520E"/>
    <w:rsid w:val="00DE5A8A"/>
    <w:rsid w:val="00E15932"/>
    <w:rsid w:val="00E642D0"/>
    <w:rsid w:val="00E82784"/>
    <w:rsid w:val="00EA4ECD"/>
    <w:rsid w:val="00EB76D8"/>
    <w:rsid w:val="00EC49F5"/>
    <w:rsid w:val="00EC622E"/>
    <w:rsid w:val="00EC7143"/>
    <w:rsid w:val="00F22737"/>
    <w:rsid w:val="00F233FD"/>
    <w:rsid w:val="00F2574D"/>
    <w:rsid w:val="00F31DF4"/>
    <w:rsid w:val="00F3707B"/>
    <w:rsid w:val="00F62C30"/>
    <w:rsid w:val="00F85EE1"/>
    <w:rsid w:val="00F92906"/>
    <w:rsid w:val="00FA17C0"/>
    <w:rsid w:val="00FA2FB2"/>
    <w:rsid w:val="00FA32C2"/>
    <w:rsid w:val="00FB43BE"/>
    <w:rsid w:val="00FB6E75"/>
    <w:rsid w:val="00FD23DC"/>
    <w:rsid w:val="00FD424B"/>
    <w:rsid w:val="00FE16BE"/>
    <w:rsid w:val="00FE19DE"/>
    <w:rsid w:val="00FF1B1E"/>
    <w:rsid w:val="00FF3E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EA2D8"/>
  <w15:docId w15:val="{1C94A034-D97D-435C-A660-24285B75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15932"/>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B333F3"/>
    <w:pPr>
      <w:spacing w:before="100" w:beforeAutospacing="1" w:after="100" w:afterAutospacing="1"/>
    </w:pPr>
  </w:style>
  <w:style w:type="character" w:customStyle="1" w:styleId="paranumber">
    <w:name w:val="paranumber"/>
    <w:basedOn w:val="Policepardfaut"/>
    <w:rsid w:val="00B333F3"/>
  </w:style>
  <w:style w:type="character" w:styleId="Lienhypertexte">
    <w:name w:val="Hyperlink"/>
    <w:rsid w:val="00B333F3"/>
    <w:rPr>
      <w:color w:val="0000FF"/>
      <w:u w:val="single"/>
    </w:rPr>
  </w:style>
  <w:style w:type="character" w:customStyle="1" w:styleId="num">
    <w:name w:val="num"/>
    <w:basedOn w:val="Policepardfaut"/>
    <w:rsid w:val="00B333F3"/>
  </w:style>
  <w:style w:type="character" w:styleId="Accentuation">
    <w:name w:val="Emphasis"/>
    <w:qFormat/>
    <w:rsid w:val="00B333F3"/>
    <w:rPr>
      <w:i/>
      <w:iCs/>
    </w:rPr>
  </w:style>
  <w:style w:type="paragraph" w:customStyle="1" w:styleId="citation">
    <w:name w:val="citation"/>
    <w:basedOn w:val="Normal"/>
    <w:rsid w:val="00FA32C2"/>
    <w:pPr>
      <w:spacing w:before="100" w:beforeAutospacing="1" w:after="100" w:afterAutospacing="1"/>
    </w:pPr>
  </w:style>
  <w:style w:type="paragraph" w:styleId="Notedebasdepage">
    <w:name w:val="footnote text"/>
    <w:basedOn w:val="Normal"/>
    <w:semiHidden/>
    <w:rsid w:val="00BC64C2"/>
    <w:rPr>
      <w:sz w:val="20"/>
      <w:szCs w:val="20"/>
      <w:lang w:val="en-GB"/>
    </w:rPr>
  </w:style>
  <w:style w:type="character" w:styleId="Appelnotedebasdep">
    <w:name w:val="footnote reference"/>
    <w:semiHidden/>
    <w:rsid w:val="00BC64C2"/>
    <w:rPr>
      <w:vertAlign w:val="superscript"/>
    </w:rPr>
  </w:style>
  <w:style w:type="character" w:customStyle="1" w:styleId="apple-converted-space">
    <w:name w:val="apple-converted-space"/>
    <w:basedOn w:val="Policepardfaut"/>
    <w:rsid w:val="003932EE"/>
  </w:style>
  <w:style w:type="character" w:styleId="Marquedecommentaire">
    <w:name w:val="annotation reference"/>
    <w:rsid w:val="00085306"/>
    <w:rPr>
      <w:sz w:val="16"/>
      <w:szCs w:val="16"/>
    </w:rPr>
  </w:style>
  <w:style w:type="paragraph" w:styleId="Commentaire">
    <w:name w:val="annotation text"/>
    <w:basedOn w:val="Normal"/>
    <w:link w:val="CommentaireCar"/>
    <w:rsid w:val="00085306"/>
    <w:rPr>
      <w:sz w:val="20"/>
      <w:szCs w:val="20"/>
    </w:rPr>
  </w:style>
  <w:style w:type="character" w:customStyle="1" w:styleId="CommentaireCar">
    <w:name w:val="Commentaire Car"/>
    <w:basedOn w:val="Policepardfaut"/>
    <w:link w:val="Commentaire"/>
    <w:rsid w:val="00085306"/>
  </w:style>
  <w:style w:type="paragraph" w:styleId="Objetducommentaire">
    <w:name w:val="annotation subject"/>
    <w:basedOn w:val="Commentaire"/>
    <w:next w:val="Commentaire"/>
    <w:link w:val="ObjetducommentaireCar"/>
    <w:rsid w:val="00085306"/>
    <w:rPr>
      <w:b/>
      <w:bCs/>
    </w:rPr>
  </w:style>
  <w:style w:type="character" w:customStyle="1" w:styleId="ObjetducommentaireCar">
    <w:name w:val="Objet du commentaire Car"/>
    <w:link w:val="Objetducommentaire"/>
    <w:rsid w:val="00085306"/>
    <w:rPr>
      <w:b/>
      <w:bCs/>
    </w:rPr>
  </w:style>
  <w:style w:type="paragraph" w:styleId="Textedebulles">
    <w:name w:val="Balloon Text"/>
    <w:basedOn w:val="Normal"/>
    <w:link w:val="TextedebullesCar"/>
    <w:rsid w:val="007F43C1"/>
    <w:rPr>
      <w:rFonts w:ascii="Tahoma" w:hAnsi="Tahoma" w:cs="Tahoma"/>
      <w:sz w:val="16"/>
      <w:szCs w:val="16"/>
    </w:rPr>
  </w:style>
  <w:style w:type="character" w:customStyle="1" w:styleId="TextedebullesCar">
    <w:name w:val="Texte de bulles Car"/>
    <w:basedOn w:val="Policepardfaut"/>
    <w:link w:val="Textedebulles"/>
    <w:rsid w:val="007F4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A2F40-302E-4BAA-B938-524B02144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5866</Words>
  <Characters>32265</Characters>
  <Application>Microsoft Office Word</Application>
  <DocSecurity>0</DocSecurity>
  <Lines>268</Lines>
  <Paragraphs>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sémantique de l’événement d’Eduardo Guimarães</vt:lpstr>
      <vt:lpstr>La sémantique de l’événement d’Eduardo Guimarães</vt:lpstr>
    </vt:vector>
  </TitlesOfParts>
  <Company>Lenovo</Company>
  <LinksUpToDate>false</LinksUpToDate>
  <CharactersWithSpaces>38055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sémantique de l’événement d’Eduardo Guimarães</dc:title>
  <dc:creator>pierre</dc:creator>
  <cp:lastModifiedBy>Pierre</cp:lastModifiedBy>
  <cp:revision>13</cp:revision>
  <cp:lastPrinted>2021-03-26T11:44:00Z</cp:lastPrinted>
  <dcterms:created xsi:type="dcterms:W3CDTF">2021-04-28T16:14:00Z</dcterms:created>
  <dcterms:modified xsi:type="dcterms:W3CDTF">2021-05-12T13:47:00Z</dcterms:modified>
</cp:coreProperties>
</file>